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1137" w:type="dxa"/>
        <w:tblInd w:w="-612" w:type="dxa"/>
        <w:tblLook w:val="01E0" w:firstRow="1" w:lastRow="1" w:firstColumn="1" w:lastColumn="1" w:noHBand="0" w:noVBand="0"/>
      </w:tblPr>
      <w:tblGrid>
        <w:gridCol w:w="11137"/>
      </w:tblGrid>
      <w:tr w:rsidR="00C24E8F" w:rsidRPr="001120F9" w:rsidTr="001A7568">
        <w:trPr>
          <w:trHeight w:val="8587"/>
        </w:trPr>
        <w:tc>
          <w:tcPr>
            <w:tcW w:w="11137"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801F51"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444931">
              <w:rPr>
                <w:b/>
                <w:color w:val="000000" w:themeColor="text1"/>
                <w:lang w:val="ro-RO"/>
              </w:rPr>
              <w:t xml:space="preserve">Direcția </w:t>
            </w:r>
            <w:r w:rsidR="00D2314E">
              <w:rPr>
                <w:b/>
                <w:color w:val="000000" w:themeColor="text1"/>
                <w:lang w:val="ro-RO"/>
              </w:rPr>
              <w:t>resurse umane</w:t>
            </w:r>
            <w:r w:rsidRPr="002C7DDD">
              <w:rPr>
                <w:b/>
                <w:color w:val="000000" w:themeColor="text1"/>
                <w:lang w:val="ro-RO"/>
              </w:rPr>
              <w:t xml:space="preserve"> </w:t>
            </w:r>
          </w:p>
          <w:p w:rsidR="004D3A1B" w:rsidRDefault="004D3A1B" w:rsidP="004D3A1B">
            <w:pPr>
              <w:jc w:val="center"/>
              <w:rPr>
                <w:b/>
                <w:color w:val="000000" w:themeColor="text1"/>
                <w:lang w:val="ro-RO"/>
              </w:rPr>
            </w:pPr>
            <w:r w:rsidRPr="002C7DDD">
              <w:rPr>
                <w:b/>
                <w:color w:val="000000" w:themeColor="text1"/>
                <w:lang w:val="ro-RO"/>
              </w:rPr>
              <w:t xml:space="preserve">a </w:t>
            </w:r>
            <w:proofErr w:type="spellStart"/>
            <w:r w:rsidRPr="002C7DDD">
              <w:rPr>
                <w:b/>
                <w:color w:val="000000" w:themeColor="text1"/>
                <w:lang w:val="ro-RO"/>
              </w:rPr>
              <w:t>Agenţiei</w:t>
            </w:r>
            <w:proofErr w:type="spellEnd"/>
            <w:r w:rsidRPr="002C7DDD">
              <w:rPr>
                <w:b/>
                <w:color w:val="000000" w:themeColor="text1"/>
                <w:lang w:val="ro-RO"/>
              </w:rPr>
              <w:t xml:space="preserve"> Naționale</w:t>
            </w:r>
            <w:r w:rsidR="00801F51">
              <w:rPr>
                <w:b/>
                <w:color w:val="000000" w:themeColor="text1"/>
                <w:lang w:val="ro-RO"/>
              </w:rPr>
              <w:t xml:space="preserve"> pentru Ocuparea Forței de Mun</w:t>
            </w:r>
            <w:bookmarkStart w:id="0" w:name="_GoBack"/>
            <w:bookmarkEnd w:id="0"/>
            <w:r w:rsidR="00801F51">
              <w:rPr>
                <w:b/>
                <w:color w:val="000000" w:themeColor="text1"/>
                <w:lang w:val="ro-RO"/>
              </w:rPr>
              <w:t>că</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801F51" w:rsidRDefault="00D2314E" w:rsidP="00801F51">
            <w:pPr>
              <w:pStyle w:val="NoSpacing"/>
              <w:rPr>
                <w:color w:val="000000" w:themeColor="text1"/>
                <w:lang w:eastAsia="ru-RU"/>
              </w:rPr>
            </w:pPr>
            <w:r w:rsidRPr="0024350F">
              <w:rPr>
                <w:rFonts w:eastAsia="Calibri"/>
                <w:color w:val="000000" w:themeColor="text1"/>
                <w:lang w:val="ro-MD"/>
              </w:rPr>
              <w:t>Implementarea procedurilor moderne de personal în vederea realizării optime a obiectivelor instituției</w:t>
            </w:r>
            <w:r w:rsidRPr="00017CDB">
              <w:rPr>
                <w:rFonts w:eastAsia="Calibri"/>
                <w:color w:val="000000" w:themeColor="text1"/>
                <w:lang w:val="ro-MD"/>
              </w:rPr>
              <w:t xml:space="preserve">. </w:t>
            </w:r>
            <w:proofErr w:type="spellStart"/>
            <w:r w:rsidRPr="00017CDB">
              <w:rPr>
                <w:color w:val="000000" w:themeColor="text1"/>
                <w:lang w:eastAsia="ru-RU"/>
              </w:rPr>
              <w:t>Organizarea</w:t>
            </w:r>
            <w:proofErr w:type="spellEnd"/>
            <w:r w:rsidRPr="00017CDB">
              <w:rPr>
                <w:color w:val="000000" w:themeColor="text1"/>
                <w:lang w:eastAsia="ru-RU"/>
              </w:rPr>
              <w:t xml:space="preserve"> </w:t>
            </w:r>
            <w:proofErr w:type="spellStart"/>
            <w:r w:rsidRPr="00017CDB">
              <w:rPr>
                <w:color w:val="000000" w:themeColor="text1"/>
                <w:lang w:eastAsia="ru-RU"/>
              </w:rPr>
              <w:t>și</w:t>
            </w:r>
            <w:proofErr w:type="spellEnd"/>
            <w:r w:rsidRPr="00017CDB">
              <w:rPr>
                <w:color w:val="000000" w:themeColor="text1"/>
                <w:lang w:eastAsia="ru-RU"/>
              </w:rPr>
              <w:t xml:space="preserve"> </w:t>
            </w:r>
            <w:proofErr w:type="spellStart"/>
            <w:r w:rsidRPr="00017CDB">
              <w:rPr>
                <w:color w:val="000000" w:themeColor="text1"/>
                <w:lang w:eastAsia="ru-RU"/>
              </w:rPr>
              <w:t>asigurarea</w:t>
            </w:r>
            <w:proofErr w:type="spellEnd"/>
            <w:r w:rsidRPr="00017CDB">
              <w:rPr>
                <w:color w:val="000000" w:themeColor="text1"/>
                <w:lang w:eastAsia="ru-RU"/>
              </w:rPr>
              <w:t xml:space="preserve"> </w:t>
            </w:r>
            <w:proofErr w:type="spellStart"/>
            <w:r w:rsidRPr="00017CDB">
              <w:rPr>
                <w:color w:val="000000" w:themeColor="text1"/>
                <w:lang w:eastAsia="ru-RU"/>
              </w:rPr>
              <w:t>procesului</w:t>
            </w:r>
            <w:proofErr w:type="spellEnd"/>
            <w:r w:rsidRPr="00017CDB">
              <w:rPr>
                <w:color w:val="000000" w:themeColor="text1"/>
                <w:lang w:eastAsia="ru-RU"/>
              </w:rPr>
              <w:t xml:space="preserve"> de </w:t>
            </w:r>
            <w:proofErr w:type="spellStart"/>
            <w:r w:rsidRPr="00017CDB">
              <w:rPr>
                <w:color w:val="000000" w:themeColor="text1"/>
                <w:lang w:eastAsia="ru-RU"/>
              </w:rPr>
              <w:t>evidență</w:t>
            </w:r>
            <w:proofErr w:type="spellEnd"/>
            <w:r w:rsidRPr="00017CDB">
              <w:rPr>
                <w:color w:val="000000" w:themeColor="text1"/>
                <w:lang w:eastAsia="ru-RU"/>
              </w:rPr>
              <w:t xml:space="preserve"> a </w:t>
            </w:r>
            <w:proofErr w:type="spellStart"/>
            <w:r w:rsidRPr="00017CDB">
              <w:rPr>
                <w:color w:val="000000" w:themeColor="text1"/>
                <w:lang w:eastAsia="ru-RU"/>
              </w:rPr>
              <w:t>persoanelor</w:t>
            </w:r>
            <w:proofErr w:type="spellEnd"/>
            <w:r w:rsidRPr="00017CDB">
              <w:rPr>
                <w:color w:val="000000" w:themeColor="text1"/>
                <w:lang w:eastAsia="ru-RU"/>
              </w:rPr>
              <w:t xml:space="preserve"> </w:t>
            </w:r>
            <w:proofErr w:type="spellStart"/>
            <w:r w:rsidRPr="00017CDB">
              <w:rPr>
                <w:color w:val="000000" w:themeColor="text1"/>
                <w:lang w:eastAsia="ru-RU"/>
              </w:rPr>
              <w:t>supuse</w:t>
            </w:r>
            <w:proofErr w:type="spellEnd"/>
            <w:r w:rsidRPr="00017CDB">
              <w:rPr>
                <w:color w:val="000000" w:themeColor="text1"/>
                <w:lang w:eastAsia="ru-RU"/>
              </w:rPr>
              <w:t xml:space="preserve"> </w:t>
            </w:r>
            <w:proofErr w:type="spellStart"/>
            <w:r w:rsidRPr="00017CDB">
              <w:rPr>
                <w:color w:val="000000" w:themeColor="text1"/>
                <w:lang w:eastAsia="ru-RU"/>
              </w:rPr>
              <w:t>serviciului</w:t>
            </w:r>
            <w:proofErr w:type="spellEnd"/>
            <w:r w:rsidRPr="00017CDB">
              <w:rPr>
                <w:color w:val="000000" w:themeColor="text1"/>
                <w:lang w:eastAsia="ru-RU"/>
              </w:rPr>
              <w:t xml:space="preserve"> </w:t>
            </w:r>
            <w:proofErr w:type="spellStart"/>
            <w:r>
              <w:rPr>
                <w:color w:val="000000" w:themeColor="text1"/>
                <w:lang w:eastAsia="ru-RU"/>
              </w:rPr>
              <w:t>militar</w:t>
            </w:r>
            <w:proofErr w:type="spellEnd"/>
            <w:r>
              <w:rPr>
                <w:color w:val="000000" w:themeColor="text1"/>
                <w:lang w:eastAsia="ru-RU"/>
              </w:rPr>
              <w:t>.</w:t>
            </w:r>
            <w:r>
              <w:rPr>
                <w:rFonts w:eastAsia="Calibri"/>
                <w:b/>
                <w:color w:val="000000" w:themeColor="text1"/>
                <w:lang w:val="ro-RO"/>
              </w:rPr>
              <w:t xml:space="preserve"> </w:t>
            </w:r>
            <w:r w:rsidRPr="00B82E4A">
              <w:rPr>
                <w:rFonts w:eastAsia="Calibri"/>
                <w:color w:val="000000" w:themeColor="text1"/>
                <w:lang w:val="ro-RO"/>
              </w:rPr>
              <w:t xml:space="preserve">Gestionarea dosarelor personale ale tuturor funcționarilor publici din cadrul </w:t>
            </w:r>
            <w:proofErr w:type="spellStart"/>
            <w:r>
              <w:rPr>
                <w:color w:val="000000" w:themeColor="text1"/>
                <w:lang w:eastAsia="ru-RU"/>
              </w:rPr>
              <w:t>aparatului</w:t>
            </w:r>
            <w:proofErr w:type="spellEnd"/>
            <w:r>
              <w:rPr>
                <w:color w:val="000000" w:themeColor="text1"/>
                <w:lang w:eastAsia="ru-RU"/>
              </w:rPr>
              <w:t xml:space="preserve"> central </w:t>
            </w:r>
            <w:proofErr w:type="spellStart"/>
            <w:r>
              <w:rPr>
                <w:color w:val="000000" w:themeColor="text1"/>
                <w:lang w:eastAsia="ru-RU"/>
              </w:rPr>
              <w:t>și</w:t>
            </w:r>
            <w:proofErr w:type="spellEnd"/>
            <w:r>
              <w:rPr>
                <w:color w:val="000000" w:themeColor="text1"/>
                <w:lang w:eastAsia="ru-RU"/>
              </w:rPr>
              <w:t xml:space="preserve"> </w:t>
            </w:r>
            <w:proofErr w:type="spellStart"/>
            <w:r>
              <w:rPr>
                <w:color w:val="000000" w:themeColor="text1"/>
                <w:lang w:eastAsia="ru-RU"/>
              </w:rPr>
              <w:t>subdiviziunilo</w:t>
            </w:r>
            <w:r w:rsidRPr="00B82E4A">
              <w:rPr>
                <w:color w:val="000000" w:themeColor="text1"/>
                <w:lang w:eastAsia="ru-RU"/>
              </w:rPr>
              <w:t>r</w:t>
            </w:r>
            <w:proofErr w:type="spellEnd"/>
            <w:r w:rsidRPr="00B82E4A">
              <w:rPr>
                <w:color w:val="000000" w:themeColor="text1"/>
                <w:lang w:eastAsia="ru-RU"/>
              </w:rPr>
              <w:t xml:space="preserve"> </w:t>
            </w:r>
            <w:proofErr w:type="spellStart"/>
            <w:r w:rsidRPr="00B82E4A">
              <w:rPr>
                <w:color w:val="000000" w:themeColor="text1"/>
                <w:lang w:eastAsia="ru-RU"/>
              </w:rPr>
              <w:t>teritoriale</w:t>
            </w:r>
            <w:proofErr w:type="spellEnd"/>
            <w:r w:rsidRPr="00B82E4A">
              <w:rPr>
                <w:color w:val="000000" w:themeColor="text1"/>
                <w:lang w:eastAsia="ru-RU"/>
              </w:rPr>
              <w:t xml:space="preserve"> ale </w:t>
            </w:r>
            <w:proofErr w:type="spellStart"/>
            <w:r w:rsidRPr="00B82E4A">
              <w:rPr>
                <w:color w:val="000000" w:themeColor="text1"/>
                <w:lang w:eastAsia="ru-RU"/>
              </w:rPr>
              <w:t>instituției</w:t>
            </w:r>
            <w:proofErr w:type="spellEnd"/>
            <w:r w:rsidRPr="00B82E4A">
              <w:rPr>
                <w:color w:val="000000" w:themeColor="text1"/>
                <w:lang w:eastAsia="ru-RU"/>
              </w:rPr>
              <w:t>.</w:t>
            </w:r>
          </w:p>
          <w:p w:rsidR="00D2314E" w:rsidRPr="002C7DDD" w:rsidRDefault="00D2314E" w:rsidP="00801F51">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801F51" w:rsidRPr="00D2314E" w:rsidRDefault="00D2314E" w:rsidP="008B3F0C">
            <w:pPr>
              <w:pStyle w:val="NormalWeb"/>
              <w:numPr>
                <w:ilvl w:val="0"/>
                <w:numId w:val="23"/>
              </w:numPr>
              <w:jc w:val="left"/>
              <w:rPr>
                <w:color w:val="000000" w:themeColor="text1"/>
                <w:lang w:val="ro-RO"/>
              </w:rPr>
            </w:pPr>
            <w:r w:rsidRPr="00D2314E">
              <w:rPr>
                <w:rFonts w:eastAsia="Calibri"/>
                <w:color w:val="000000" w:themeColor="text1"/>
                <w:lang w:val="it-IT"/>
              </w:rPr>
              <w:t xml:space="preserve">Gestionarea dosarelor personale ale tuturor funcționarilor publici din cadrul </w:t>
            </w:r>
            <w:r>
              <w:rPr>
                <w:color w:val="000000" w:themeColor="text1"/>
                <w:lang w:val="it-IT"/>
              </w:rPr>
              <w:t>instituției</w:t>
            </w:r>
            <w:r w:rsidR="00801F51" w:rsidRPr="00D2314E">
              <w:rPr>
                <w:color w:val="000000" w:themeColor="text1"/>
                <w:lang w:val="ro-RO"/>
              </w:rPr>
              <w:t>;</w:t>
            </w:r>
          </w:p>
          <w:p w:rsidR="00801F51" w:rsidRPr="00D2314E" w:rsidRDefault="00D2314E" w:rsidP="008B3F0C">
            <w:pPr>
              <w:pStyle w:val="NormalWeb"/>
              <w:numPr>
                <w:ilvl w:val="0"/>
                <w:numId w:val="23"/>
              </w:numPr>
              <w:jc w:val="left"/>
              <w:rPr>
                <w:color w:val="000000" w:themeColor="text1"/>
                <w:lang w:val="ro-RO"/>
              </w:rPr>
            </w:pPr>
            <w:r w:rsidRPr="00D2314E">
              <w:rPr>
                <w:color w:val="000000" w:themeColor="text1"/>
                <w:lang w:val="it-IT"/>
              </w:rPr>
              <w:t>Organizarea și asigurarea procesului de evidență a persoanelor supuse serviciului militar</w:t>
            </w:r>
            <w:r w:rsidR="00801F51" w:rsidRPr="00D2314E">
              <w:rPr>
                <w:rFonts w:eastAsia="Calibri"/>
                <w:color w:val="000000"/>
                <w:lang w:val="ro-RO"/>
              </w:rPr>
              <w:t>;</w:t>
            </w:r>
          </w:p>
          <w:p w:rsidR="00801F51" w:rsidRPr="00D2314E" w:rsidRDefault="00D2314E" w:rsidP="008B3F0C">
            <w:pPr>
              <w:pStyle w:val="NormalWeb"/>
              <w:numPr>
                <w:ilvl w:val="0"/>
                <w:numId w:val="23"/>
              </w:numPr>
              <w:jc w:val="left"/>
              <w:rPr>
                <w:color w:val="000000" w:themeColor="text1"/>
                <w:lang w:val="ro-RO"/>
              </w:rPr>
            </w:pPr>
            <w:r w:rsidRPr="00D2314E">
              <w:rPr>
                <w:rFonts w:eastAsia="Calibri"/>
                <w:color w:val="000000" w:themeColor="text1"/>
                <w:lang w:val="it-IT"/>
              </w:rPr>
              <w:t>Ținerea evidenței datelor și documentelor cu privire la personalul</w:t>
            </w:r>
            <w:r w:rsidRPr="00D2314E">
              <w:rPr>
                <w:color w:val="000000" w:themeColor="text1"/>
                <w:lang w:val="it-IT"/>
              </w:rPr>
              <w:t xml:space="preserve"> instituției</w:t>
            </w:r>
            <w:r w:rsidR="00801F51" w:rsidRPr="00D2314E">
              <w:rPr>
                <w:rFonts w:eastAsia="Calibri"/>
                <w:color w:val="000000"/>
                <w:lang w:val="en-US"/>
              </w:rPr>
              <w:t>;</w:t>
            </w:r>
          </w:p>
          <w:p w:rsidR="00801F51" w:rsidRPr="00D2314E" w:rsidRDefault="00D2314E" w:rsidP="008B3F0C">
            <w:pPr>
              <w:pStyle w:val="NormalWeb"/>
              <w:numPr>
                <w:ilvl w:val="0"/>
                <w:numId w:val="23"/>
              </w:numPr>
              <w:jc w:val="left"/>
              <w:rPr>
                <w:color w:val="000000" w:themeColor="text1"/>
                <w:lang w:val="ro-RO"/>
              </w:rPr>
            </w:pPr>
            <w:r w:rsidRPr="00D2314E">
              <w:rPr>
                <w:color w:val="000000" w:themeColor="text1"/>
                <w:lang w:val="it-IT"/>
              </w:rPr>
              <w:t>Participarea la elaborarea schemelor de încadrare a personalului instituției</w:t>
            </w:r>
            <w:r w:rsidR="00801F51" w:rsidRPr="00D2314E">
              <w:rPr>
                <w:rFonts w:eastAsia="Calibri"/>
                <w:color w:val="000000"/>
                <w:lang w:val="en-US"/>
              </w:rPr>
              <w:t>;</w:t>
            </w:r>
          </w:p>
          <w:p w:rsidR="00D2314E" w:rsidRPr="00D2314E" w:rsidRDefault="00D2314E" w:rsidP="00D2314E">
            <w:pPr>
              <w:pStyle w:val="NormalWeb"/>
              <w:numPr>
                <w:ilvl w:val="0"/>
                <w:numId w:val="23"/>
              </w:numPr>
              <w:jc w:val="left"/>
              <w:rPr>
                <w:color w:val="000000" w:themeColor="text1"/>
                <w:lang w:val="ro-RO"/>
              </w:rPr>
            </w:pPr>
            <w:r w:rsidRPr="00D2314E">
              <w:rPr>
                <w:rFonts w:eastAsia="Calibri"/>
                <w:color w:val="000000" w:themeColor="text1"/>
                <w:lang w:val="it-IT"/>
              </w:rPr>
              <w:t>Implementarea procedurilor privind acordarea gradelor profesionale și treptelor de salarizare funcționarilor publici din cadrul aparatului central și subdiviziunilor teritoriale</w:t>
            </w:r>
            <w:r w:rsidRPr="00D2314E">
              <w:rPr>
                <w:color w:val="000000"/>
                <w:lang w:val="it-IT"/>
              </w:rPr>
              <w:t>;</w:t>
            </w:r>
          </w:p>
          <w:p w:rsidR="00D2314E" w:rsidRPr="00D2314E" w:rsidRDefault="00D2314E" w:rsidP="00D2314E">
            <w:pPr>
              <w:pStyle w:val="NormalWeb"/>
              <w:numPr>
                <w:ilvl w:val="0"/>
                <w:numId w:val="23"/>
              </w:numPr>
              <w:jc w:val="left"/>
              <w:rPr>
                <w:color w:val="000000" w:themeColor="text1"/>
                <w:lang w:val="ro-RO"/>
              </w:rPr>
            </w:pPr>
            <w:r w:rsidRPr="00D2314E">
              <w:rPr>
                <w:rFonts w:eastAsia="Calibri"/>
                <w:color w:val="000000" w:themeColor="text1"/>
                <w:lang w:val="it-IT"/>
              </w:rPr>
              <w:t>Elaborarea proiectelor de acte administrative cu privire la angajarea, modificarea/suspendarea/încetarea raporturilor de serviciu, la instruirea, evaluarea personalului și la alte proceduri de personal ale subdiviziunilor teritoriale</w:t>
            </w:r>
            <w:r w:rsidRPr="00D2314E">
              <w:rPr>
                <w:rFonts w:eastAsia="Calibri"/>
                <w:color w:val="000000" w:themeColor="text1"/>
                <w:lang w:val="it-IT"/>
              </w:rPr>
              <w:t>;</w:t>
            </w:r>
          </w:p>
          <w:p w:rsidR="00D2314E" w:rsidRPr="00D2314E" w:rsidRDefault="00D2314E" w:rsidP="00D2314E">
            <w:pPr>
              <w:pStyle w:val="NormalWeb"/>
              <w:numPr>
                <w:ilvl w:val="0"/>
                <w:numId w:val="23"/>
              </w:numPr>
              <w:jc w:val="left"/>
              <w:rPr>
                <w:color w:val="000000" w:themeColor="text1"/>
                <w:lang w:val="ro-RO"/>
              </w:rPr>
            </w:pPr>
            <w:r w:rsidRPr="00D2314E">
              <w:rPr>
                <w:rFonts w:eastAsia="Calibri"/>
                <w:color w:val="000000" w:themeColor="text1"/>
                <w:lang w:val="it-IT"/>
              </w:rPr>
              <w:t>Implementarea proceselor aferente securității și sănătății în muncă în cadrul instituției</w:t>
            </w:r>
            <w:r w:rsidRPr="00D2314E">
              <w:rPr>
                <w:rFonts w:eastAsia="Calibri"/>
                <w:color w:val="000000" w:themeColor="text1"/>
                <w:lang w:val="it-IT"/>
              </w:rPr>
              <w:t>.</w:t>
            </w:r>
          </w:p>
          <w:p w:rsidR="00D2314E" w:rsidRDefault="00D2314E" w:rsidP="00D2314E">
            <w:pPr>
              <w:pStyle w:val="NormalWeb"/>
              <w:ind w:firstLine="0"/>
              <w:jc w:val="left"/>
              <w:rPr>
                <w:b/>
                <w:color w:val="000000" w:themeColor="text1"/>
                <w:lang w:val="ro-RO"/>
              </w:rPr>
            </w:pPr>
          </w:p>
          <w:p w:rsidR="004D3A1B" w:rsidRPr="002C7DDD" w:rsidRDefault="00D2314E" w:rsidP="00D2314E">
            <w:pPr>
              <w:pStyle w:val="NormalWeb"/>
              <w:ind w:firstLine="0"/>
              <w:jc w:val="left"/>
              <w:rPr>
                <w:color w:val="000000" w:themeColor="text1"/>
                <w:lang w:val="ro-RO"/>
              </w:rPr>
            </w:pPr>
            <w:r w:rsidRPr="002C7DDD">
              <w:rPr>
                <w:b/>
                <w:color w:val="000000" w:themeColor="text1"/>
                <w:lang w:val="ro-RO"/>
              </w:rPr>
              <w:t xml:space="preserve"> </w:t>
            </w:r>
            <w:proofErr w:type="spellStart"/>
            <w:r w:rsidR="004D3A1B" w:rsidRPr="002C7DDD">
              <w:rPr>
                <w:b/>
                <w:color w:val="000000" w:themeColor="text1"/>
                <w:lang w:val="ro-RO"/>
              </w:rPr>
              <w:t>Condiţiile</w:t>
            </w:r>
            <w:proofErr w:type="spellEnd"/>
            <w:r w:rsidR="004D3A1B" w:rsidRPr="002C7DDD">
              <w:rPr>
                <w:b/>
                <w:color w:val="000000" w:themeColor="text1"/>
                <w:lang w:val="ro-RO"/>
              </w:rPr>
              <w:t xml:space="preserve"> de participare la concurs</w:t>
            </w:r>
            <w:r w:rsidR="004D3A1B"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8B3F0C">
            <w:pPr>
              <w:pStyle w:val="NormalWeb"/>
              <w:numPr>
                <w:ilvl w:val="0"/>
                <w:numId w:val="23"/>
              </w:numPr>
              <w:jc w:val="left"/>
              <w:rPr>
                <w:color w:val="000000" w:themeColor="text1"/>
                <w:lang w:val="ro-RO"/>
              </w:rPr>
            </w:pPr>
            <w:r w:rsidRPr="002C7DDD">
              <w:rPr>
                <w:color w:val="000000" w:themeColor="text1"/>
                <w:lang w:val="ro-RO"/>
              </w:rPr>
              <w:t>deţinerea cetăţeniei Republicii Moldova;</w:t>
            </w:r>
          </w:p>
          <w:p w:rsidR="00782872" w:rsidRPr="002C7DDD" w:rsidRDefault="004D3A1B" w:rsidP="008B3F0C">
            <w:pPr>
              <w:pStyle w:val="NormalWeb"/>
              <w:numPr>
                <w:ilvl w:val="0"/>
                <w:numId w:val="23"/>
              </w:numPr>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8B3F0C">
            <w:pPr>
              <w:pStyle w:val="NormalWeb"/>
              <w:numPr>
                <w:ilvl w:val="0"/>
                <w:numId w:val="23"/>
              </w:numPr>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8B3F0C">
            <w:pPr>
              <w:pStyle w:val="NormalWeb"/>
              <w:numPr>
                <w:ilvl w:val="0"/>
                <w:numId w:val="23"/>
              </w:numPr>
              <w:jc w:val="left"/>
              <w:rPr>
                <w:color w:val="000000" w:themeColor="text1"/>
                <w:lang w:val="ro-RO"/>
              </w:rPr>
            </w:pPr>
            <w:r w:rsidRPr="002C7DDD">
              <w:rPr>
                <w:color w:val="000000" w:themeColor="text1"/>
                <w:lang w:val="ro-RO"/>
              </w:rPr>
              <w:t>prezența studiilor necesare prevăzute;</w:t>
            </w:r>
          </w:p>
          <w:p w:rsidR="004D3A1B" w:rsidRPr="002C7DDD" w:rsidRDefault="00472879" w:rsidP="008B3F0C">
            <w:pPr>
              <w:pStyle w:val="NormalWeb"/>
              <w:numPr>
                <w:ilvl w:val="0"/>
                <w:numId w:val="23"/>
              </w:numPr>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sidRPr="00472879">
              <w:rPr>
                <w:color w:val="000000"/>
                <w:lang w:val="en-US"/>
              </w:rPr>
              <w:t xml:space="preserve">de 63 de </w:t>
            </w:r>
            <w:proofErr w:type="spellStart"/>
            <w:r w:rsidRPr="00472879">
              <w:rPr>
                <w:color w:val="000000"/>
                <w:lang w:val="en-US"/>
              </w:rPr>
              <w:t>ani</w:t>
            </w:r>
            <w:proofErr w:type="spellEnd"/>
            <w:r w:rsidR="004D3A1B" w:rsidRPr="002C7DDD">
              <w:rPr>
                <w:color w:val="000000" w:themeColor="text1"/>
                <w:lang w:val="ro-RO"/>
              </w:rPr>
              <w:t xml:space="preserve">; </w:t>
            </w:r>
          </w:p>
          <w:p w:rsidR="004D3A1B" w:rsidRPr="002C7DDD" w:rsidRDefault="004D3A1B" w:rsidP="008B3F0C">
            <w:pPr>
              <w:pStyle w:val="NormalWeb"/>
              <w:numPr>
                <w:ilvl w:val="0"/>
                <w:numId w:val="23"/>
              </w:numPr>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8B3F0C">
            <w:pPr>
              <w:pStyle w:val="NormalWeb"/>
              <w:numPr>
                <w:ilvl w:val="0"/>
                <w:numId w:val="23"/>
              </w:numPr>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8B3F0C">
            <w:pPr>
              <w:pStyle w:val="NormalWeb"/>
              <w:numPr>
                <w:ilvl w:val="0"/>
                <w:numId w:val="23"/>
              </w:numPr>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801F51" w:rsidRPr="00D2314E" w:rsidRDefault="004D3A1B" w:rsidP="00D2314E">
            <w:pPr>
              <w:ind w:left="34"/>
              <w:rPr>
                <w:rFonts w:eastAsia="Calibri"/>
                <w:lang w:val="ro-MD"/>
              </w:rPr>
            </w:pPr>
            <w:r w:rsidRPr="002C7DDD">
              <w:rPr>
                <w:b/>
                <w:color w:val="000000" w:themeColor="text1"/>
                <w:lang w:val="ro-RO"/>
              </w:rPr>
              <w:t xml:space="preserve">Studii: </w:t>
            </w:r>
            <w:r w:rsidR="00D2314E" w:rsidRPr="00900EC4">
              <w:rPr>
                <w:rFonts w:eastAsia="Calibri"/>
                <w:lang w:val="ro-MD"/>
              </w:rPr>
              <w:t xml:space="preserve">Superioare, de licență sau echivalente în domeniul </w:t>
            </w:r>
            <w:r w:rsidR="00D2314E">
              <w:rPr>
                <w:rFonts w:eastAsia="Calibri"/>
                <w:lang w:val="ro-MD"/>
              </w:rPr>
              <w:t>managementului resurselor umane</w:t>
            </w:r>
            <w:r w:rsidR="00D2314E" w:rsidRPr="00900EC4">
              <w:rPr>
                <w:rFonts w:eastAsia="Calibri"/>
                <w:lang w:val="ro-MD"/>
              </w:rPr>
              <w:t>,</w:t>
            </w:r>
            <w:r w:rsidR="00D2314E">
              <w:rPr>
                <w:rFonts w:eastAsia="Calibri"/>
                <w:lang w:val="ro-MD"/>
              </w:rPr>
              <w:t xml:space="preserve"> dreptului</w:t>
            </w:r>
            <w:r w:rsidR="00D2314E" w:rsidRPr="00900EC4">
              <w:rPr>
                <w:rFonts w:eastAsia="Calibri"/>
                <w:lang w:val="ro-MD"/>
              </w:rPr>
              <w:t>, administrație</w:t>
            </w:r>
            <w:r w:rsidR="00D2314E">
              <w:rPr>
                <w:rFonts w:eastAsia="Calibri"/>
                <w:lang w:val="ro-MD"/>
              </w:rPr>
              <w:t>i publice</w:t>
            </w:r>
            <w:r w:rsidR="00801F51" w:rsidRPr="000B4AD8">
              <w:t>;</w:t>
            </w:r>
          </w:p>
          <w:p w:rsidR="00801F51" w:rsidRDefault="00801F51" w:rsidP="004D3A1B">
            <w:pPr>
              <w:jc w:val="both"/>
              <w:rPr>
                <w:b/>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D2314E" w:rsidRPr="00900EC4" w:rsidRDefault="00D2314E" w:rsidP="00D2314E">
            <w:pPr>
              <w:pStyle w:val="lf"/>
              <w:rPr>
                <w:lang w:val="en-US"/>
              </w:rPr>
            </w:pPr>
            <w:r w:rsidRPr="00900EC4">
              <w:rPr>
                <w:lang w:val="en-US"/>
              </w:rPr>
              <w:t>-</w:t>
            </w:r>
            <w:proofErr w:type="spellStart"/>
            <w:r w:rsidRPr="00900EC4">
              <w:rPr>
                <w:lang w:val="en-US"/>
              </w:rPr>
              <w:t>Cunoașterea</w:t>
            </w:r>
            <w:proofErr w:type="spellEnd"/>
            <w:r w:rsidRPr="00900EC4">
              <w:rPr>
                <w:lang w:val="en-US"/>
              </w:rPr>
              <w:t xml:space="preserve"> </w:t>
            </w:r>
            <w:proofErr w:type="spellStart"/>
            <w:r w:rsidRPr="00900EC4">
              <w:rPr>
                <w:lang w:val="en-US"/>
              </w:rPr>
              <w:t>legislației</w:t>
            </w:r>
            <w:proofErr w:type="spellEnd"/>
            <w:r w:rsidRPr="00900EC4">
              <w:rPr>
                <w:lang w:val="en-US"/>
              </w:rPr>
              <w:t xml:space="preserve"> </w:t>
            </w:r>
            <w:proofErr w:type="spellStart"/>
            <w:r w:rsidRPr="00900EC4">
              <w:rPr>
                <w:lang w:val="en-US"/>
              </w:rPr>
              <w:t>în</w:t>
            </w:r>
            <w:proofErr w:type="spellEnd"/>
            <w:r w:rsidRPr="00900EC4">
              <w:rPr>
                <w:lang w:val="en-US"/>
              </w:rPr>
              <w:t xml:space="preserve"> </w:t>
            </w:r>
            <w:proofErr w:type="spellStart"/>
            <w:r w:rsidRPr="00900EC4">
              <w:rPr>
                <w:lang w:val="en-US"/>
              </w:rPr>
              <w:t>domeniu</w:t>
            </w:r>
            <w:proofErr w:type="spellEnd"/>
            <w:r w:rsidRPr="00900EC4">
              <w:rPr>
                <w:lang w:val="en-US"/>
              </w:rPr>
              <w:t>;</w:t>
            </w:r>
          </w:p>
          <w:p w:rsidR="00D2314E" w:rsidRDefault="00D2314E" w:rsidP="00D2314E">
            <w:pPr>
              <w:pStyle w:val="NoSpacing"/>
              <w:tabs>
                <w:tab w:val="left" w:pos="851"/>
                <w:tab w:val="left" w:pos="993"/>
              </w:tabs>
            </w:pPr>
            <w:r w:rsidRPr="00900EC4">
              <w:t>-</w:t>
            </w:r>
            <w:proofErr w:type="spellStart"/>
            <w:r>
              <w:t>Cunoștințe</w:t>
            </w:r>
            <w:proofErr w:type="spellEnd"/>
            <w:r>
              <w:t xml:space="preserve"> de </w:t>
            </w:r>
            <w:proofErr w:type="spellStart"/>
            <w:r>
              <w:t>utilizare</w:t>
            </w:r>
            <w:proofErr w:type="spellEnd"/>
            <w:r>
              <w:t xml:space="preserve"> a </w:t>
            </w:r>
            <w:proofErr w:type="spellStart"/>
            <w:r>
              <w:t>calculatorului</w:t>
            </w:r>
            <w:proofErr w:type="spellEnd"/>
            <w:r>
              <w:t xml:space="preserve">: Word, Excel, PowerPoint, </w:t>
            </w:r>
            <w:proofErr w:type="spellStart"/>
            <w:r>
              <w:t>Acces</w:t>
            </w:r>
            <w:proofErr w:type="spellEnd"/>
            <w:r>
              <w:t xml:space="preserve">, </w:t>
            </w:r>
            <w:proofErr w:type="spellStart"/>
            <w:r w:rsidRPr="00900EC4">
              <w:t>etc</w:t>
            </w:r>
            <w:proofErr w:type="spellEnd"/>
            <w:r w:rsidRPr="00900EC4">
              <w:t>;</w:t>
            </w:r>
          </w:p>
          <w:p w:rsidR="00D2314E" w:rsidRDefault="00D2314E" w:rsidP="00D2314E">
            <w:pPr>
              <w:pStyle w:val="NoSpacing"/>
              <w:tabs>
                <w:tab w:val="left" w:pos="851"/>
                <w:tab w:val="left" w:pos="993"/>
              </w:tabs>
            </w:pPr>
            <w:r>
              <w:t>-</w:t>
            </w:r>
            <w:proofErr w:type="spellStart"/>
            <w:r>
              <w:t>Cunoașterea</w:t>
            </w:r>
            <w:proofErr w:type="spellEnd"/>
            <w:r>
              <w:t xml:space="preserve"> </w:t>
            </w:r>
            <w:proofErr w:type="spellStart"/>
            <w:r>
              <w:t>politicilor</w:t>
            </w:r>
            <w:proofErr w:type="spellEnd"/>
            <w:r>
              <w:t xml:space="preserve"> </w:t>
            </w:r>
            <w:proofErr w:type="spellStart"/>
            <w:r>
              <w:t>și</w:t>
            </w:r>
            <w:proofErr w:type="spellEnd"/>
            <w:r>
              <w:t xml:space="preserve"> </w:t>
            </w:r>
            <w:proofErr w:type="spellStart"/>
            <w:r>
              <w:t>procedurilor</w:t>
            </w:r>
            <w:proofErr w:type="spellEnd"/>
            <w:r>
              <w:t xml:space="preserve"> </w:t>
            </w:r>
            <w:proofErr w:type="spellStart"/>
            <w:r>
              <w:t>eficiente</w:t>
            </w:r>
            <w:proofErr w:type="spellEnd"/>
            <w:r>
              <w:t xml:space="preserve"> de management al </w:t>
            </w:r>
            <w:proofErr w:type="spellStart"/>
            <w:r>
              <w:t>resurselor</w:t>
            </w:r>
            <w:proofErr w:type="spellEnd"/>
            <w:r>
              <w:t xml:space="preserve"> </w:t>
            </w:r>
            <w:proofErr w:type="spellStart"/>
            <w:r>
              <w:t>umane</w:t>
            </w:r>
            <w:proofErr w:type="spellEnd"/>
            <w:r>
              <w:t xml:space="preserve">, </w:t>
            </w:r>
            <w:proofErr w:type="spellStart"/>
            <w:r>
              <w:t>precum</w:t>
            </w:r>
            <w:proofErr w:type="spellEnd"/>
            <w:r>
              <w:t xml:space="preserve"> </w:t>
            </w:r>
            <w:proofErr w:type="spellStart"/>
            <w:r>
              <w:t>și</w:t>
            </w:r>
            <w:proofErr w:type="spellEnd"/>
            <w:r>
              <w:t xml:space="preserve"> a </w:t>
            </w:r>
            <w:proofErr w:type="spellStart"/>
            <w:r>
              <w:t>practicilor</w:t>
            </w:r>
            <w:proofErr w:type="spellEnd"/>
            <w:r>
              <w:t xml:space="preserve"> </w:t>
            </w:r>
            <w:proofErr w:type="spellStart"/>
            <w:r>
              <w:t>pozitive</w:t>
            </w:r>
            <w:proofErr w:type="spellEnd"/>
            <w:r>
              <w:t xml:space="preserve"> </w:t>
            </w:r>
            <w:proofErr w:type="spellStart"/>
            <w:r>
              <w:t>naționale</w:t>
            </w:r>
            <w:proofErr w:type="spellEnd"/>
            <w:r>
              <w:t xml:space="preserve"> </w:t>
            </w:r>
            <w:proofErr w:type="spellStart"/>
            <w:r>
              <w:t>și</w:t>
            </w:r>
            <w:proofErr w:type="spellEnd"/>
            <w:r>
              <w:t xml:space="preserve"> </w:t>
            </w:r>
            <w:proofErr w:type="spellStart"/>
            <w:r>
              <w:t>internaționale</w:t>
            </w:r>
            <w:proofErr w:type="spellEnd"/>
            <w:r>
              <w:t xml:space="preserve"> </w:t>
            </w:r>
            <w:proofErr w:type="spellStart"/>
            <w:r>
              <w:t>în</w:t>
            </w:r>
            <w:proofErr w:type="spellEnd"/>
            <w:r>
              <w:t xml:space="preserve"> </w:t>
            </w:r>
            <w:proofErr w:type="spellStart"/>
            <w:r>
              <w:t>domeniul</w:t>
            </w:r>
            <w:proofErr w:type="spellEnd"/>
            <w:r>
              <w:t xml:space="preserve"> </w:t>
            </w:r>
            <w:proofErr w:type="spellStart"/>
            <w:r>
              <w:t>managementului</w:t>
            </w:r>
            <w:proofErr w:type="spellEnd"/>
            <w:r>
              <w:t xml:space="preserve"> </w:t>
            </w:r>
            <w:proofErr w:type="spellStart"/>
            <w:r>
              <w:t>resurselor</w:t>
            </w:r>
            <w:proofErr w:type="spellEnd"/>
            <w:r>
              <w:t xml:space="preserve"> </w:t>
            </w:r>
            <w:proofErr w:type="spellStart"/>
            <w:r>
              <w:t>umane</w:t>
            </w:r>
            <w:proofErr w:type="spellEnd"/>
            <w:r>
              <w:t>;</w:t>
            </w:r>
          </w:p>
          <w:p w:rsidR="00621E2F" w:rsidRPr="002C7DDD" w:rsidRDefault="00621E2F" w:rsidP="00621E2F">
            <w:pPr>
              <w:jc w:val="both"/>
              <w:rPr>
                <w:color w:val="000000" w:themeColor="text1"/>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621E2F" w:rsidRDefault="00D2314E" w:rsidP="004D3A1B">
            <w:pPr>
              <w:jc w:val="both"/>
              <w:rPr>
                <w:lang w:val="ro-MD"/>
              </w:rPr>
            </w:pPr>
            <w:r w:rsidRPr="00900EC4">
              <w:rPr>
                <w:lang w:val="ro-MD"/>
              </w:rPr>
              <w:t>Lucru cu informația, analiză și sinteză,</w:t>
            </w:r>
            <w:r>
              <w:rPr>
                <w:lang w:val="ro-MD"/>
              </w:rPr>
              <w:t xml:space="preserve"> elaborare a documentelor, prezentare a informației,</w:t>
            </w:r>
            <w:r w:rsidRPr="00900EC4">
              <w:rPr>
                <w:lang w:val="ro-MD"/>
              </w:rPr>
              <w:t xml:space="preserve"> </w:t>
            </w:r>
            <w:r>
              <w:rPr>
                <w:lang w:val="ro-MD"/>
              </w:rPr>
              <w:t>comunicare eficientă</w:t>
            </w:r>
            <w:r w:rsidRPr="00900EC4">
              <w:rPr>
                <w:lang w:val="ro-MD"/>
              </w:rPr>
              <w:t>, lucru în echipă</w:t>
            </w:r>
            <w:r>
              <w:rPr>
                <w:lang w:val="ro-MD"/>
              </w:rPr>
              <w:t>, aplanare a situațiilor de conflict</w:t>
            </w:r>
            <w:r w:rsidRPr="00900EC4">
              <w:rPr>
                <w:lang w:val="ro-MD"/>
              </w:rPr>
              <w:t>.</w:t>
            </w:r>
          </w:p>
          <w:p w:rsidR="00D2314E" w:rsidRDefault="00D2314E" w:rsidP="004D3A1B">
            <w:pPr>
              <w:jc w:val="both"/>
              <w:rPr>
                <w:lang w:val="ro-MD"/>
              </w:rPr>
            </w:pPr>
          </w:p>
          <w:p w:rsidR="00D2314E" w:rsidRPr="002C7DDD" w:rsidRDefault="00D2314E"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lastRenderedPageBreak/>
              <w:t>Atitudini/comportamente:</w:t>
            </w:r>
            <w:r w:rsidRPr="002C7DDD">
              <w:rPr>
                <w:color w:val="000000" w:themeColor="text1"/>
                <w:lang w:val="ro-RO"/>
              </w:rPr>
              <w:t xml:space="preserve"> </w:t>
            </w:r>
          </w:p>
          <w:p w:rsidR="00D2314E" w:rsidRDefault="00D2314E" w:rsidP="00621E2F">
            <w:pPr>
              <w:jc w:val="both"/>
              <w:rPr>
                <w:rFonts w:eastAsia="Calibri"/>
                <w:lang w:val="ro-MD"/>
              </w:rPr>
            </w:pPr>
            <w:r w:rsidRPr="00900EC4">
              <w:rPr>
                <w:rFonts w:eastAsia="Calibri"/>
                <w:lang w:val="ro-MD"/>
              </w:rPr>
              <w:t>Responsabilitate, respect față de oameni, obiectivitate, loialitate, disciplină, tendință spre dezvoltare profesională continuă</w:t>
            </w:r>
            <w:r>
              <w:rPr>
                <w:rFonts w:eastAsia="Calibri"/>
                <w:lang w:val="ro-MD"/>
              </w:rPr>
              <w:t>, receptivitate față de idei noi</w:t>
            </w:r>
            <w:r>
              <w:rPr>
                <w:rFonts w:eastAsia="Calibri"/>
                <w:lang w:val="ro-MD"/>
              </w:rPr>
              <w:t>.</w:t>
            </w:r>
          </w:p>
          <w:p w:rsidR="00252A7F" w:rsidRPr="00621E2F" w:rsidRDefault="00252A7F" w:rsidP="00621E2F">
            <w:pPr>
              <w:jc w:val="both"/>
              <w:rPr>
                <w:color w:val="000000" w:themeColor="text1"/>
                <w:lang w:val="ro-RO"/>
              </w:rPr>
            </w:pPr>
            <w:r>
              <w:rPr>
                <w:color w:val="000000" w:themeColor="text1"/>
                <w:lang w:val="ro-RO"/>
              </w:rPr>
              <w:t xml:space="preserve"> </w:t>
            </w: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8B3F0C" w:rsidRPr="002C7DDD" w:rsidRDefault="008B3F0C" w:rsidP="00D2314E">
            <w:pPr>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8B3F0C">
            <w:pPr>
              <w:pStyle w:val="NormalWeb"/>
              <w:numPr>
                <w:ilvl w:val="0"/>
                <w:numId w:val="26"/>
              </w:numPr>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8B3F0C">
            <w:pPr>
              <w:pStyle w:val="NormalWeb"/>
              <w:numPr>
                <w:ilvl w:val="0"/>
                <w:numId w:val="26"/>
              </w:numPr>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C77D72">
              <w:rPr>
                <w:b/>
                <w:color w:val="000000" w:themeColor="text1"/>
                <w:u w:val="single"/>
                <w:lang w:val="ro-RO"/>
              </w:rPr>
              <w:t>31 octombrie</w:t>
            </w:r>
            <w:r w:rsidR="00801F51">
              <w:rPr>
                <w:b/>
                <w:color w:val="000000" w:themeColor="text1"/>
                <w:u w:val="single"/>
                <w:lang w:val="ro-RO"/>
              </w:rPr>
              <w:t xml:space="preserve"> </w:t>
            </w:r>
            <w:r w:rsidR="007E0A18">
              <w:rPr>
                <w:b/>
                <w:color w:val="000000" w:themeColor="text1"/>
                <w:u w:val="single"/>
                <w:lang w:val="ro-RO"/>
              </w:rPr>
              <w:t>2019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8B3F0C" w:rsidRPr="008B3F0C" w:rsidRDefault="008B3F0C" w:rsidP="008B3F0C">
            <w:pPr>
              <w:pStyle w:val="ListParagraph"/>
              <w:numPr>
                <w:ilvl w:val="0"/>
                <w:numId w:val="27"/>
              </w:numPr>
              <w:spacing w:before="100" w:beforeAutospacing="1" w:after="100" w:afterAutospacing="1"/>
              <w:rPr>
                <w:lang w:val="ro-RO"/>
              </w:rPr>
            </w:pPr>
            <w:r w:rsidRPr="008B3F0C">
              <w:rPr>
                <w:lang w:val="ro-RO"/>
              </w:rPr>
              <w:t>Constituţia Republicii Moldova;</w:t>
            </w:r>
          </w:p>
          <w:p w:rsidR="008B3F0C" w:rsidRDefault="008B3F0C" w:rsidP="008B3F0C">
            <w:pPr>
              <w:numPr>
                <w:ilvl w:val="0"/>
                <w:numId w:val="27"/>
              </w:numPr>
              <w:spacing w:before="100" w:beforeAutospacing="1" w:after="100" w:afterAutospacing="1"/>
              <w:rPr>
                <w:lang w:val="ro-RO"/>
              </w:rPr>
            </w:pPr>
            <w:r>
              <w:rPr>
                <w:lang w:val="ro-RO"/>
              </w:rPr>
              <w:t xml:space="preserve">Legea Republicii Moldova cu privire la promovarea ocupării </w:t>
            </w:r>
            <w:proofErr w:type="spellStart"/>
            <w:r>
              <w:rPr>
                <w:lang w:val="ro-RO"/>
              </w:rPr>
              <w:t>forţei</w:t>
            </w:r>
            <w:proofErr w:type="spellEnd"/>
            <w:r>
              <w:rPr>
                <w:lang w:val="ro-RO"/>
              </w:rPr>
              <w:t xml:space="preserve"> de muncă </w:t>
            </w:r>
            <w:proofErr w:type="spellStart"/>
            <w:r>
              <w:rPr>
                <w:lang w:val="ro-RO"/>
              </w:rPr>
              <w:t>şi</w:t>
            </w:r>
            <w:proofErr w:type="spellEnd"/>
            <w:r>
              <w:rPr>
                <w:lang w:val="ro-RO"/>
              </w:rPr>
              <w:t xml:space="preserve"> asigurării de </w:t>
            </w:r>
            <w:proofErr w:type="spellStart"/>
            <w:r>
              <w:rPr>
                <w:lang w:val="ro-RO"/>
              </w:rPr>
              <w:t>şomaj</w:t>
            </w:r>
            <w:proofErr w:type="spellEnd"/>
            <w:r>
              <w:rPr>
                <w:lang w:val="ro-RO"/>
              </w:rPr>
              <w:t xml:space="preserve"> nr. 105 din 14.06.2018;</w:t>
            </w:r>
          </w:p>
          <w:p w:rsidR="008B3F0C" w:rsidRDefault="008B3F0C" w:rsidP="008B3F0C">
            <w:pPr>
              <w:numPr>
                <w:ilvl w:val="0"/>
                <w:numId w:val="27"/>
              </w:numPr>
              <w:spacing w:before="100" w:beforeAutospacing="1" w:after="100" w:afterAutospacing="1"/>
              <w:rPr>
                <w:lang w:val="ro-RO"/>
              </w:rPr>
            </w:pPr>
            <w:proofErr w:type="spellStart"/>
            <w:r>
              <w:rPr>
                <w:lang w:val="ro-RO"/>
              </w:rPr>
              <w:t>Hotărîrea</w:t>
            </w:r>
            <w:proofErr w:type="spellEnd"/>
            <w:r>
              <w:rPr>
                <w:lang w:val="ro-RO"/>
              </w:rPr>
              <w:t xml:space="preserve"> Guvernului nr.990 din 10.10.2018 “ Regulamentul cu privire la organizarea și funcționarea Agenției Naționale pentru Ocuparea Forței de Muncă;</w:t>
            </w:r>
          </w:p>
          <w:p w:rsidR="008B3F0C" w:rsidRDefault="008B3F0C" w:rsidP="008B3F0C">
            <w:pPr>
              <w:numPr>
                <w:ilvl w:val="0"/>
                <w:numId w:val="27"/>
              </w:numPr>
              <w:spacing w:before="100" w:beforeAutospacing="1" w:after="100" w:afterAutospacing="1"/>
              <w:rPr>
                <w:lang w:val="ro-RO"/>
              </w:rPr>
            </w:pPr>
            <w:r>
              <w:rPr>
                <w:lang w:val="ro-RO"/>
              </w:rPr>
              <w:t xml:space="preserve">Legea nr.158-XVI din 04. 07.2008 cu privire la </w:t>
            </w:r>
            <w:proofErr w:type="spellStart"/>
            <w:r>
              <w:rPr>
                <w:lang w:val="ro-RO"/>
              </w:rPr>
              <w:t>funcţia</w:t>
            </w:r>
            <w:proofErr w:type="spellEnd"/>
            <w:r>
              <w:rPr>
                <w:lang w:val="ro-RO"/>
              </w:rPr>
              <w:t xml:space="preserve"> publică </w:t>
            </w:r>
            <w:proofErr w:type="spellStart"/>
            <w:r>
              <w:rPr>
                <w:lang w:val="ro-RO"/>
              </w:rPr>
              <w:t>şi</w:t>
            </w:r>
            <w:proofErr w:type="spellEnd"/>
            <w:r>
              <w:rPr>
                <w:lang w:val="ro-RO"/>
              </w:rPr>
              <w:t xml:space="preserve"> statutul </w:t>
            </w:r>
            <w:proofErr w:type="spellStart"/>
            <w:r>
              <w:rPr>
                <w:lang w:val="ro-RO"/>
              </w:rPr>
              <w:t>funcţionarului</w:t>
            </w:r>
            <w:proofErr w:type="spellEnd"/>
            <w:r>
              <w:rPr>
                <w:lang w:val="ro-RO"/>
              </w:rPr>
              <w:t xml:space="preserve"> public;</w:t>
            </w:r>
          </w:p>
          <w:p w:rsidR="008B3F0C" w:rsidRDefault="008B3F0C" w:rsidP="008B3F0C">
            <w:pPr>
              <w:pStyle w:val="ListParagraph"/>
              <w:numPr>
                <w:ilvl w:val="0"/>
                <w:numId w:val="27"/>
              </w:numPr>
              <w:spacing w:after="160" w:line="256" w:lineRule="auto"/>
              <w:rPr>
                <w:lang w:val="ro-RO"/>
              </w:rPr>
            </w:pPr>
            <w:r>
              <w:rPr>
                <w:lang w:val="ro-RO"/>
              </w:rPr>
              <w:t xml:space="preserve">Legea nr.25-XVI din 22.02.2008 privind Codul de conduită a </w:t>
            </w:r>
            <w:proofErr w:type="spellStart"/>
            <w:r>
              <w:rPr>
                <w:lang w:val="ro-RO"/>
              </w:rPr>
              <w:t>funcţionarului</w:t>
            </w:r>
            <w:proofErr w:type="spellEnd"/>
            <w:r>
              <w:rPr>
                <w:lang w:val="ro-RO"/>
              </w:rPr>
              <w:t xml:space="preserve"> public;</w:t>
            </w:r>
          </w:p>
          <w:p w:rsidR="008B3F0C" w:rsidRDefault="008B3F0C" w:rsidP="008B3F0C">
            <w:pPr>
              <w:pStyle w:val="ListParagraph"/>
              <w:numPr>
                <w:ilvl w:val="0"/>
                <w:numId w:val="27"/>
              </w:numPr>
              <w:spacing w:after="160" w:line="256" w:lineRule="auto"/>
              <w:rPr>
                <w:lang w:val="ro-RO"/>
              </w:rPr>
            </w:pPr>
            <w:r>
              <w:rPr>
                <w:lang w:val="ro-RO"/>
              </w:rPr>
              <w:t>Legea nr.91 din 29.05.2014 cu privire la semnătura electronică și documentul electronic;</w:t>
            </w:r>
          </w:p>
          <w:p w:rsidR="008B3F0C" w:rsidRDefault="008B3F0C" w:rsidP="008B3F0C">
            <w:pPr>
              <w:pStyle w:val="ListParagraph"/>
              <w:numPr>
                <w:ilvl w:val="0"/>
                <w:numId w:val="27"/>
              </w:numPr>
              <w:spacing w:after="160" w:line="256" w:lineRule="auto"/>
              <w:rPr>
                <w:lang w:val="ro-RO"/>
              </w:rPr>
            </w:pPr>
            <w:proofErr w:type="spellStart"/>
            <w:r>
              <w:rPr>
                <w:lang w:val="ro-RO"/>
              </w:rPr>
              <w:t>Hotărîrea</w:t>
            </w:r>
            <w:proofErr w:type="spellEnd"/>
            <w:r>
              <w:rPr>
                <w:lang w:val="ro-RO"/>
              </w:rPr>
              <w:t xml:space="preserve"> Guvernului nr.201 din 28.03.2017 </w:t>
            </w:r>
            <w:proofErr w:type="spellStart"/>
            <w:r>
              <w:t>privind</w:t>
            </w:r>
            <w:proofErr w:type="spellEnd"/>
            <w:r>
              <w:t xml:space="preserve"> </w:t>
            </w:r>
            <w:proofErr w:type="spellStart"/>
            <w:r>
              <w:t>aprobarea</w:t>
            </w:r>
            <w:proofErr w:type="spellEnd"/>
            <w:r>
              <w:t xml:space="preserve"> </w:t>
            </w:r>
            <w:proofErr w:type="spellStart"/>
            <w:r>
              <w:t>cerințelor</w:t>
            </w:r>
            <w:proofErr w:type="spellEnd"/>
            <w:r>
              <w:t xml:space="preserve"> </w:t>
            </w:r>
            <w:proofErr w:type="spellStart"/>
            <w:r>
              <w:t>minime</w:t>
            </w:r>
            <w:proofErr w:type="spellEnd"/>
            <w:r>
              <w:t xml:space="preserve"> </w:t>
            </w:r>
            <w:proofErr w:type="spellStart"/>
            <w:r>
              <w:t>obligatorii</w:t>
            </w:r>
            <w:proofErr w:type="spellEnd"/>
            <w:r>
              <w:t xml:space="preserve"> de </w:t>
            </w:r>
            <w:proofErr w:type="spellStart"/>
            <w:r>
              <w:t>securitate</w:t>
            </w:r>
            <w:proofErr w:type="spellEnd"/>
            <w:r>
              <w:t xml:space="preserve"> </w:t>
            </w:r>
            <w:proofErr w:type="spellStart"/>
            <w:r>
              <w:t>cibernetica</w:t>
            </w:r>
            <w:proofErr w:type="spellEnd"/>
            <w:r>
              <w:rPr>
                <w:lang w:val="ro-RO"/>
              </w:rPr>
              <w:t>;</w:t>
            </w:r>
          </w:p>
          <w:p w:rsidR="008B3F0C" w:rsidRDefault="008B3F0C" w:rsidP="008B3F0C">
            <w:pPr>
              <w:pStyle w:val="ListParagraph"/>
              <w:numPr>
                <w:ilvl w:val="0"/>
                <w:numId w:val="27"/>
              </w:numPr>
              <w:spacing w:after="160" w:line="256" w:lineRule="auto"/>
              <w:rPr>
                <w:lang w:val="ro-RO"/>
              </w:rPr>
            </w:pPr>
            <w:r>
              <w:rPr>
                <w:lang w:val="ro-RO"/>
              </w:rPr>
              <w:t>Legea nr.133 din 08.07.2011</w:t>
            </w:r>
            <w:r>
              <w:t xml:space="preserve"> </w:t>
            </w:r>
            <w:proofErr w:type="spellStart"/>
            <w:r>
              <w:t>privind</w:t>
            </w:r>
            <w:proofErr w:type="spellEnd"/>
            <w:r>
              <w:t xml:space="preserve"> </w:t>
            </w:r>
            <w:proofErr w:type="spellStart"/>
            <w:r>
              <w:t>protectia</w:t>
            </w:r>
            <w:proofErr w:type="spellEnd"/>
            <w:r>
              <w:t xml:space="preserve"> </w:t>
            </w:r>
            <w:proofErr w:type="spellStart"/>
            <w:r>
              <w:t>datelor</w:t>
            </w:r>
            <w:proofErr w:type="spellEnd"/>
            <w:r>
              <w:t xml:space="preserve"> cu </w:t>
            </w:r>
            <w:proofErr w:type="spellStart"/>
            <w:r>
              <w:t>caracter</w:t>
            </w:r>
            <w:proofErr w:type="spellEnd"/>
            <w:r>
              <w:t xml:space="preserve"> personal</w:t>
            </w:r>
            <w:r>
              <w:rPr>
                <w:lang w:val="ro-RO"/>
              </w:rPr>
              <w:t>;</w:t>
            </w:r>
          </w:p>
          <w:p w:rsidR="002C7DDD" w:rsidRPr="008B3F0C" w:rsidRDefault="008B3F0C" w:rsidP="008B3F0C">
            <w:pPr>
              <w:pStyle w:val="ListParagraph"/>
              <w:numPr>
                <w:ilvl w:val="0"/>
                <w:numId w:val="27"/>
              </w:numPr>
              <w:spacing w:after="160" w:line="256" w:lineRule="auto"/>
              <w:rPr>
                <w:lang w:val="ro-RO"/>
              </w:rPr>
            </w:pPr>
            <w:proofErr w:type="spellStart"/>
            <w:r>
              <w:t>Legea</w:t>
            </w:r>
            <w:proofErr w:type="spellEnd"/>
            <w:r>
              <w:t xml:space="preserve"> </w:t>
            </w:r>
            <w:proofErr w:type="spellStart"/>
            <w:r>
              <w:t>nr</w:t>
            </w:r>
            <w:proofErr w:type="spellEnd"/>
            <w:r>
              <w:t xml:space="preserve">. </w:t>
            </w:r>
            <w:proofErr w:type="gramStart"/>
            <w:r>
              <w:t>142</w:t>
            </w:r>
            <w:proofErr w:type="gramEnd"/>
            <w:r>
              <w:t xml:space="preserve"> din 19.07.2018 cu </w:t>
            </w:r>
            <w:proofErr w:type="spellStart"/>
            <w:r>
              <w:t>privire</w:t>
            </w:r>
            <w:proofErr w:type="spellEnd"/>
            <w:r>
              <w:t xml:space="preserve"> la </w:t>
            </w:r>
            <w:proofErr w:type="spellStart"/>
            <w:r>
              <w:t>schimbul</w:t>
            </w:r>
            <w:proofErr w:type="spellEnd"/>
            <w:r>
              <w:t xml:space="preserve"> de date </w:t>
            </w:r>
            <w:proofErr w:type="spellStart"/>
            <w:r>
              <w:t>și</w:t>
            </w:r>
            <w:proofErr w:type="spellEnd"/>
            <w:r>
              <w:t xml:space="preserve"> </w:t>
            </w:r>
            <w:proofErr w:type="spellStart"/>
            <w:r>
              <w:t>interoperabiltate</w:t>
            </w:r>
            <w:proofErr w:type="spellEnd"/>
            <w:r>
              <w:t>.</w:t>
            </w:r>
          </w:p>
          <w:p w:rsidR="00E0422C" w:rsidRPr="00E0422C" w:rsidRDefault="00E0422C" w:rsidP="00E0422C">
            <w:pPr>
              <w:spacing w:after="160" w:line="259" w:lineRule="auto"/>
              <w:contextualSpacing/>
              <w:rPr>
                <w:rFonts w:eastAsia="Calibri"/>
                <w:szCs w:val="22"/>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4D3A1B" w:rsidRPr="001A7568" w:rsidRDefault="004D3A1B" w:rsidP="006A06AE">
            <w:pPr>
              <w:ind w:left="360" w:firstLine="34"/>
              <w:rPr>
                <w:sz w:val="2"/>
                <w:lang w:val="ro-RO"/>
              </w:rPr>
            </w:pPr>
          </w:p>
          <w:p w:rsidR="001B234E" w:rsidRPr="00E0422C" w:rsidRDefault="001B234E" w:rsidP="006A06AE">
            <w:pPr>
              <w:ind w:firstLine="34"/>
              <w:rPr>
                <w:color w:val="FF0000"/>
                <w:sz w:val="14"/>
                <w:lang w:val="ro-RO"/>
              </w:rPr>
            </w:pPr>
          </w:p>
          <w:p w:rsidR="00C24E8F" w:rsidRPr="001120F9" w:rsidRDefault="00C24E8F" w:rsidP="002C7DDD">
            <w:pPr>
              <w:jc w:val="center"/>
              <w:rPr>
                <w:rFonts w:ascii="Arial" w:hAnsi="Arial" w:cs="Arial"/>
                <w:b/>
                <w:sz w:val="16"/>
                <w:szCs w:val="16"/>
                <w:lang w:val="ro-RO"/>
              </w:rPr>
            </w:pPr>
          </w:p>
        </w:tc>
      </w:tr>
      <w:tr w:rsidR="00F962B9" w:rsidRPr="001120F9" w:rsidTr="001A7568">
        <w:trPr>
          <w:trHeight w:val="48"/>
        </w:trPr>
        <w:tc>
          <w:tcPr>
            <w:tcW w:w="1113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1A7568">
      <w:pgSz w:w="12240" w:h="15840"/>
      <w:pgMar w:top="288" w:right="81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48" w:rsidRDefault="00043A48">
      <w:r>
        <w:separator/>
      </w:r>
    </w:p>
  </w:endnote>
  <w:endnote w:type="continuationSeparator" w:id="0">
    <w:p w:rsidR="00043A48" w:rsidRDefault="0004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48" w:rsidRDefault="00043A48">
      <w:r>
        <w:separator/>
      </w:r>
    </w:p>
  </w:footnote>
  <w:footnote w:type="continuationSeparator" w:id="0">
    <w:p w:rsidR="00043A48" w:rsidRDefault="00043A48">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54C51"/>
    <w:multiLevelType w:val="hybridMultilevel"/>
    <w:tmpl w:val="378EB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75E61B1"/>
    <w:multiLevelType w:val="hybridMultilevel"/>
    <w:tmpl w:val="986854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BA93E63"/>
    <w:multiLevelType w:val="hybridMultilevel"/>
    <w:tmpl w:val="0A0263F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1"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E13A63"/>
    <w:multiLevelType w:val="hybridMultilevel"/>
    <w:tmpl w:val="7CE60D44"/>
    <w:lvl w:ilvl="0" w:tplc="E60297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1"/>
  </w:num>
  <w:num w:numId="4">
    <w:abstractNumId w:val="8"/>
  </w:num>
  <w:num w:numId="5">
    <w:abstractNumId w:val="16"/>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9"/>
  </w:num>
  <w:num w:numId="14">
    <w:abstractNumId w:val="2"/>
  </w:num>
  <w:num w:numId="15">
    <w:abstractNumId w:val="18"/>
  </w:num>
  <w:num w:numId="16">
    <w:abstractNumId w:val="11"/>
  </w:num>
  <w:num w:numId="17">
    <w:abstractNumId w:val="0"/>
  </w:num>
  <w:num w:numId="18">
    <w:abstractNumId w:val="4"/>
  </w:num>
  <w:num w:numId="19">
    <w:abstractNumId w:val="1"/>
  </w:num>
  <w:num w:numId="20">
    <w:abstractNumId w:val="17"/>
  </w:num>
  <w:num w:numId="21">
    <w:abstractNumId w:val="5"/>
  </w:num>
  <w:num w:numId="22">
    <w:abstractNumId w:val="12"/>
  </w:num>
  <w:num w:numId="23">
    <w:abstractNumId w:val="15"/>
  </w:num>
  <w:num w:numId="24">
    <w:abstractNumId w:val="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43A48"/>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A7568"/>
    <w:rsid w:val="001B234E"/>
    <w:rsid w:val="001D1C41"/>
    <w:rsid w:val="001D56C1"/>
    <w:rsid w:val="001D7D0D"/>
    <w:rsid w:val="001E0805"/>
    <w:rsid w:val="001E6D8A"/>
    <w:rsid w:val="00214AB9"/>
    <w:rsid w:val="00220758"/>
    <w:rsid w:val="0022369D"/>
    <w:rsid w:val="00225DF5"/>
    <w:rsid w:val="00227C4A"/>
    <w:rsid w:val="00232B88"/>
    <w:rsid w:val="00233AB2"/>
    <w:rsid w:val="002519EE"/>
    <w:rsid w:val="00252A7F"/>
    <w:rsid w:val="00254BA6"/>
    <w:rsid w:val="00256BD4"/>
    <w:rsid w:val="00262A7C"/>
    <w:rsid w:val="002737EE"/>
    <w:rsid w:val="00275530"/>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16A98"/>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5B4"/>
    <w:rsid w:val="004417B3"/>
    <w:rsid w:val="00444931"/>
    <w:rsid w:val="0044787B"/>
    <w:rsid w:val="00460E8F"/>
    <w:rsid w:val="00464B5B"/>
    <w:rsid w:val="00466A51"/>
    <w:rsid w:val="0046740D"/>
    <w:rsid w:val="00472879"/>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01AC"/>
    <w:rsid w:val="004F245A"/>
    <w:rsid w:val="005038DF"/>
    <w:rsid w:val="00511042"/>
    <w:rsid w:val="005157C4"/>
    <w:rsid w:val="0053779E"/>
    <w:rsid w:val="005431BA"/>
    <w:rsid w:val="00550E9A"/>
    <w:rsid w:val="00557BBC"/>
    <w:rsid w:val="00560A63"/>
    <w:rsid w:val="0056215F"/>
    <w:rsid w:val="00571473"/>
    <w:rsid w:val="005856F2"/>
    <w:rsid w:val="005877BF"/>
    <w:rsid w:val="005911BF"/>
    <w:rsid w:val="005A1796"/>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E0A18"/>
    <w:rsid w:val="00801F51"/>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B3F0C"/>
    <w:rsid w:val="008C28FC"/>
    <w:rsid w:val="008C7D5D"/>
    <w:rsid w:val="008C7EB7"/>
    <w:rsid w:val="008D4521"/>
    <w:rsid w:val="008E6748"/>
    <w:rsid w:val="008E6825"/>
    <w:rsid w:val="008F393A"/>
    <w:rsid w:val="008F54FA"/>
    <w:rsid w:val="008F68CA"/>
    <w:rsid w:val="00905805"/>
    <w:rsid w:val="00907A98"/>
    <w:rsid w:val="00913948"/>
    <w:rsid w:val="009167B3"/>
    <w:rsid w:val="00916D34"/>
    <w:rsid w:val="00920059"/>
    <w:rsid w:val="00930BE5"/>
    <w:rsid w:val="00937EB8"/>
    <w:rsid w:val="009436CF"/>
    <w:rsid w:val="00943BCB"/>
    <w:rsid w:val="00950D35"/>
    <w:rsid w:val="00960C6C"/>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135"/>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4C1D"/>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77D72"/>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314E"/>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0422C"/>
    <w:rsid w:val="00E16591"/>
    <w:rsid w:val="00E2285C"/>
    <w:rsid w:val="00E22963"/>
    <w:rsid w:val="00E2391B"/>
    <w:rsid w:val="00E25336"/>
    <w:rsid w:val="00E35D07"/>
    <w:rsid w:val="00E364A7"/>
    <w:rsid w:val="00E50272"/>
    <w:rsid w:val="00E739C2"/>
    <w:rsid w:val="00E74B19"/>
    <w:rsid w:val="00E74E8C"/>
    <w:rsid w:val="00E77769"/>
    <w:rsid w:val="00E902D7"/>
    <w:rsid w:val="00E91DEE"/>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9B2C5"/>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017577527">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4140</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4748</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2</cp:revision>
  <cp:lastPrinted>2019-10-10T11:18:00Z</cp:lastPrinted>
  <dcterms:created xsi:type="dcterms:W3CDTF">2019-10-10T11:18:00Z</dcterms:created>
  <dcterms:modified xsi:type="dcterms:W3CDTF">2019-10-10T11:18:00Z</dcterms:modified>
</cp:coreProperties>
</file>