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A191F" w:rsidRDefault="003621E2" w:rsidP="004D3A1B">
            <w:pPr>
              <w:pStyle w:val="ab"/>
              <w:rPr>
                <w:color w:val="000000" w:themeColor="text1"/>
                <w:lang w:val="it-IT"/>
              </w:rPr>
            </w:pPr>
            <w:r w:rsidRPr="003621E2">
              <w:rPr>
                <w:rFonts w:eastAsia="Calibri"/>
                <w:lang w:val="ro-RO"/>
              </w:rPr>
              <w:t xml:space="preserve">Asigurarea </w:t>
            </w:r>
            <w:r w:rsidRPr="003621E2">
              <w:rPr>
                <w:color w:val="000000" w:themeColor="text1"/>
                <w:lang w:val="it-IT"/>
              </w:rPr>
              <w:t>Observatorului pieții muncii cu date statistice administrative veridice pe diverse domenii necesare pentru realizarea funcţiilor Observatorului.</w:t>
            </w:r>
          </w:p>
          <w:p w:rsidR="003621E2" w:rsidRPr="003621E2" w:rsidRDefault="003621E2" w:rsidP="004D3A1B">
            <w:pPr>
              <w:pStyle w:val="ab"/>
              <w:rPr>
                <w:color w:val="000000" w:themeColor="text1"/>
              </w:rPr>
            </w:pPr>
          </w:p>
          <w:p w:rsidR="003621E2" w:rsidRDefault="004D3A1B" w:rsidP="003621E2">
            <w:pPr>
              <w:jc w:val="both"/>
              <w:rPr>
                <w:b/>
                <w:color w:val="000000" w:themeColor="text1"/>
              </w:rPr>
            </w:pPr>
            <w:r w:rsidRPr="002C7DDD">
              <w:rPr>
                <w:b/>
                <w:color w:val="000000" w:themeColor="text1"/>
              </w:rPr>
              <w:t>Sarcinile de bază</w:t>
            </w:r>
            <w:r w:rsidR="009A191F">
              <w:rPr>
                <w:b/>
                <w:color w:val="000000" w:themeColor="text1"/>
              </w:rPr>
              <w:t>:</w:t>
            </w:r>
          </w:p>
          <w:p w:rsidR="003621E2" w:rsidRPr="003621E2" w:rsidRDefault="003621E2" w:rsidP="003621E2">
            <w:pPr>
              <w:jc w:val="both"/>
              <w:rPr>
                <w:color w:val="000000" w:themeColor="text1"/>
                <w:lang w:val="it-IT"/>
              </w:rPr>
            </w:pPr>
            <w:r w:rsidRPr="003621E2">
              <w:rPr>
                <w:color w:val="000000" w:themeColor="text1"/>
                <w:lang w:val="it-IT"/>
              </w:rPr>
              <w:t>1.Participarea la elaborarea Planului anual de acțiuni a Observatorului pieții muncii.</w:t>
            </w:r>
          </w:p>
          <w:p w:rsidR="003621E2" w:rsidRPr="003621E2" w:rsidRDefault="003621E2" w:rsidP="003621E2">
            <w:pPr>
              <w:jc w:val="both"/>
              <w:rPr>
                <w:color w:val="000000" w:themeColor="text1"/>
                <w:lang w:val="ro-RO"/>
              </w:rPr>
            </w:pPr>
            <w:r w:rsidRPr="003621E2">
              <w:rPr>
                <w:color w:val="000000" w:themeColor="text1"/>
                <w:lang w:val="it-IT"/>
              </w:rPr>
              <w:t>2.</w:t>
            </w:r>
            <w:r w:rsidRPr="003621E2">
              <w:rPr>
                <w:color w:val="000000" w:themeColor="text1"/>
                <w:lang w:val="ro-RO"/>
              </w:rPr>
              <w:t>Prelucrarea datelor cercetărilor, studiilor, datelor statistice și administrative cu privire la piața muncii.</w:t>
            </w:r>
          </w:p>
          <w:p w:rsidR="003621E2" w:rsidRPr="003621E2" w:rsidRDefault="003621E2" w:rsidP="003621E2">
            <w:pPr>
              <w:jc w:val="both"/>
              <w:rPr>
                <w:color w:val="000000" w:themeColor="text1"/>
                <w:lang w:val="ro-RO"/>
              </w:rPr>
            </w:pPr>
            <w:r w:rsidRPr="003621E2">
              <w:rPr>
                <w:color w:val="000000" w:themeColor="text1"/>
                <w:lang w:val="ro-RO"/>
              </w:rPr>
              <w:t>3.Administrarea bazelor</w:t>
            </w:r>
            <w:r w:rsidRPr="003621E2">
              <w:rPr>
                <w:color w:val="000000" w:themeColor="text1"/>
              </w:rPr>
              <w:t xml:space="preserve"> de date </w:t>
            </w:r>
            <w:r w:rsidRPr="003621E2">
              <w:rPr>
                <w:color w:val="000000" w:themeColor="text1"/>
                <w:lang w:val="ro-RO"/>
              </w:rPr>
              <w:t>cu privire la piața muncii, altor date conexe.</w:t>
            </w:r>
          </w:p>
          <w:p w:rsidR="003621E2" w:rsidRPr="003621E2" w:rsidRDefault="003621E2" w:rsidP="003621E2">
            <w:pPr>
              <w:jc w:val="both"/>
              <w:rPr>
                <w:rFonts w:eastAsia="Calibri"/>
                <w:color w:val="000000" w:themeColor="text1"/>
                <w:lang w:val="it-IT"/>
              </w:rPr>
            </w:pPr>
            <w:r w:rsidRPr="003621E2">
              <w:rPr>
                <w:color w:val="000000" w:themeColor="text1"/>
                <w:lang w:val="ro-RO"/>
              </w:rPr>
              <w:t>4.</w:t>
            </w:r>
            <w:r w:rsidRPr="003621E2">
              <w:rPr>
                <w:rFonts w:eastAsia="Calibri"/>
                <w:color w:val="000000" w:themeColor="text1"/>
                <w:lang w:val="it-IT"/>
              </w:rPr>
              <w:t>Asigurarea secretariatului Grupului tehnic de lucru și comunicarea cu membrii acestuia.</w:t>
            </w:r>
          </w:p>
          <w:p w:rsidR="003621E2" w:rsidRDefault="003621E2" w:rsidP="003621E2">
            <w:pPr>
              <w:jc w:val="both"/>
              <w:rPr>
                <w:rFonts w:eastAsia="Calibri"/>
                <w:b/>
                <w:color w:val="000000" w:themeColor="text1"/>
                <w:lang w:val="it-IT"/>
              </w:rPr>
            </w:pPr>
            <w:r w:rsidRPr="003621E2">
              <w:rPr>
                <w:rFonts w:eastAsia="Calibri"/>
                <w:color w:val="000000" w:themeColor="text1"/>
                <w:lang w:val="it-IT"/>
              </w:rPr>
              <w:t>5.Elaborarea rapoartelor statistice în vederea facilitării analizelor asupra pieței muncii.</w:t>
            </w:r>
          </w:p>
          <w:p w:rsidR="003621E2" w:rsidRDefault="003621E2" w:rsidP="003621E2">
            <w:pPr>
              <w:jc w:val="both"/>
              <w:rPr>
                <w:b/>
                <w:color w:val="000000" w:themeColor="text1"/>
              </w:rPr>
            </w:pPr>
          </w:p>
          <w:p w:rsidR="003621E2" w:rsidRDefault="003621E2" w:rsidP="003621E2">
            <w:pPr>
              <w:jc w:val="both"/>
              <w:rPr>
                <w:b/>
                <w:color w:val="000000" w:themeColor="text1"/>
              </w:rPr>
            </w:pPr>
          </w:p>
          <w:p w:rsidR="004D3A1B" w:rsidRPr="002C7DDD" w:rsidRDefault="004D3A1B" w:rsidP="003621E2">
            <w:pPr>
              <w:jc w:val="both"/>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Superioare, de licență sau echivalente în domeniul economie, management, administrație publică.</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an de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 etc.</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 informația, analiză și sinteză, monitorizare, comunicare eficientă,  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3621E2" w:rsidRPr="00621E2F" w:rsidRDefault="003621E2"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w:t>
            </w:r>
            <w:r w:rsidRPr="002C7DDD">
              <w:rPr>
                <w:color w:val="000000" w:themeColor="text1"/>
                <w:lang w:val="ro-RO"/>
              </w:rPr>
              <w:lastRenderedPageBreak/>
              <w:t xml:space="preserve">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08</w:t>
            </w:r>
            <w:r w:rsidR="00930BE5">
              <w:rPr>
                <w:b/>
                <w:color w:val="000000" w:themeColor="text1"/>
                <w:u w:val="single"/>
                <w:lang w:val="ro-RO"/>
              </w:rPr>
              <w:t xml:space="preserve"> ianuarie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a4"/>
                  <w:b/>
                  <w:iCs/>
                  <w:lang w:val="ro-RO"/>
                </w:rPr>
                <w:t>doina.noroc</w:t>
              </w:r>
              <w:r w:rsidR="00930BE5" w:rsidRPr="00CA6146">
                <w:rPr>
                  <w:rStyle w:val="a4"/>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6177FF" w:rsidRPr="003B1681" w:rsidRDefault="006177FF" w:rsidP="006177FF">
            <w:pPr>
              <w:numPr>
                <w:ilvl w:val="0"/>
                <w:numId w:val="22"/>
              </w:numPr>
              <w:spacing w:before="100" w:beforeAutospacing="1" w:after="100" w:afterAutospacing="1"/>
              <w:rPr>
                <w:lang w:val="ro-RO"/>
              </w:rPr>
            </w:pPr>
            <w:r w:rsidRPr="003B1681">
              <w:rPr>
                <w:lang w:val="ro-RO"/>
              </w:rPr>
              <w:t>Constituţia Republicii Moldova;</w:t>
            </w:r>
          </w:p>
          <w:p w:rsidR="006177FF" w:rsidRPr="003B1681" w:rsidRDefault="006177FF" w:rsidP="006177FF">
            <w:pPr>
              <w:numPr>
                <w:ilvl w:val="0"/>
                <w:numId w:val="22"/>
              </w:numPr>
              <w:spacing w:before="100" w:beforeAutospacing="1" w:after="100" w:afterAutospacing="1"/>
              <w:rPr>
                <w:lang w:val="ro-RO"/>
              </w:rPr>
            </w:pPr>
            <w:r w:rsidRPr="003B1681">
              <w:rPr>
                <w:lang w:val="ro-RO"/>
              </w:rPr>
              <w:t>Legea Republicii Moldova cu privire la promovarea ocupării forţei de muncă şi asigurării de şomaj nr. 105 din 14.06.2018;</w:t>
            </w:r>
          </w:p>
          <w:p w:rsidR="006177FF" w:rsidRPr="003B1681" w:rsidRDefault="006177FF" w:rsidP="006177FF">
            <w:pPr>
              <w:numPr>
                <w:ilvl w:val="0"/>
                <w:numId w:val="22"/>
              </w:numPr>
              <w:spacing w:before="100" w:beforeAutospacing="1" w:after="100" w:afterAutospacing="1"/>
              <w:rPr>
                <w:lang w:val="ro-RO"/>
              </w:rPr>
            </w:pPr>
            <w:r w:rsidRPr="003B1681">
              <w:rPr>
                <w:lang w:val="ro-RO"/>
              </w:rPr>
              <w:t>Hotărîrea Guvernului nr.990 din 10.10.2018 “ Regulamentul cu privire la organizarea și funcționarea Agenției Naționale pentru Ocuparea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Legea nr.158-XVI din 04. 07.2008 cu privire la funcţia publică şi statutul funcţionarului public;</w:t>
            </w:r>
          </w:p>
          <w:p w:rsidR="006177FF" w:rsidRPr="003B1681" w:rsidRDefault="006177FF" w:rsidP="006177FF">
            <w:pPr>
              <w:pStyle w:val="ac"/>
              <w:numPr>
                <w:ilvl w:val="0"/>
                <w:numId w:val="22"/>
              </w:numPr>
              <w:spacing w:after="160" w:line="259" w:lineRule="auto"/>
              <w:rPr>
                <w:lang w:val="ro-RO"/>
              </w:rPr>
            </w:pPr>
            <w:r w:rsidRPr="003B1681">
              <w:rPr>
                <w:lang w:val="ro-RO"/>
              </w:rPr>
              <w:t>Legea nr.25-XVI din 22.02.2008 privind Codul de conduită a funcţionarului public;</w:t>
            </w:r>
          </w:p>
          <w:p w:rsidR="006177FF" w:rsidRPr="003B1681" w:rsidRDefault="006177FF" w:rsidP="006177FF">
            <w:pPr>
              <w:pStyle w:val="ac"/>
              <w:numPr>
                <w:ilvl w:val="0"/>
                <w:numId w:val="22"/>
              </w:numPr>
              <w:spacing w:after="160" w:line="259" w:lineRule="auto"/>
              <w:rPr>
                <w:lang w:val="ro-RO"/>
              </w:rPr>
            </w:pPr>
            <w:r w:rsidRPr="003B1681">
              <w:rPr>
                <w:lang w:val="ro-RO"/>
              </w:rPr>
              <w:t>Legea Nr. 142 din 19.07.2018 cu privire la schimbul de date şi interoperabiltate;</w:t>
            </w:r>
          </w:p>
          <w:p w:rsidR="006177FF" w:rsidRPr="00464430" w:rsidRDefault="006177FF" w:rsidP="006177FF">
            <w:pPr>
              <w:pStyle w:val="ac"/>
              <w:numPr>
                <w:ilvl w:val="0"/>
                <w:numId w:val="22"/>
              </w:numPr>
              <w:spacing w:after="160" w:line="259" w:lineRule="auto"/>
              <w:rPr>
                <w:lang w:val="ro-RO"/>
              </w:rPr>
            </w:pPr>
            <w:r w:rsidRPr="003B1681">
              <w:rPr>
                <w:lang w:val="ro-RO"/>
              </w:rPr>
              <w:t>Metodologii: (www.statistica.md/Metodologie/Metadate/</w:t>
            </w:r>
            <w:hyperlink r:id="rId8" w:history="1">
              <w:r w:rsidRPr="003B1681">
                <w:rPr>
                  <w:rStyle w:val="a4"/>
                  <w:lang w:val="ro-RO"/>
                </w:rPr>
                <w:t>Metadate de referinţă</w:t>
              </w:r>
            </w:hyperlink>
            <w:r w:rsidRPr="003B1681">
              <w:rPr>
                <w:lang w:val="ro-RO"/>
              </w:rPr>
              <w:t>).</w:t>
            </w:r>
          </w:p>
          <w:p w:rsidR="006177FF" w:rsidRPr="00464430" w:rsidRDefault="006177FF" w:rsidP="006177FF">
            <w:pPr>
              <w:pStyle w:val="ac"/>
              <w:numPr>
                <w:ilvl w:val="0"/>
                <w:numId w:val="22"/>
              </w:numPr>
              <w:spacing w:after="160" w:line="259" w:lineRule="auto"/>
              <w:rPr>
                <w:lang w:val="ro-RO"/>
              </w:rPr>
            </w:pPr>
            <w:r w:rsidRPr="00464430">
              <w:rPr>
                <w:lang w:val="ro-RO"/>
              </w:rPr>
              <w:t>Cunoașterea tehnologiilor în domeniu:</w:t>
            </w:r>
            <w:bookmarkStart w:id="0" w:name="_GoBack"/>
            <w:bookmarkEnd w:id="0"/>
            <w:r w:rsidRPr="00464430">
              <w:rPr>
                <w:lang w:val="ro-RO"/>
              </w:rPr>
              <w:t>gestionarea  și dezvoltarea bazelor de date: Sql, Mysql, Oracle.</w:t>
            </w:r>
          </w:p>
          <w:p w:rsidR="002A7B6B" w:rsidRPr="00DB4AE3" w:rsidRDefault="002A7B6B" w:rsidP="007500A2">
            <w:pPr>
              <w:pStyle w:val="tt"/>
              <w:ind w:left="720"/>
              <w:jc w:val="both"/>
              <w:rPr>
                <w:b w:val="0"/>
                <w:lang w:val="ro-RO"/>
              </w:rPr>
            </w:pPr>
          </w:p>
          <w:p w:rsidR="00881ECB" w:rsidRPr="00930BE5" w:rsidRDefault="00881ECB" w:rsidP="002A7B6B">
            <w:pPr>
              <w:pStyle w:val="a5"/>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41" w:rsidRDefault="00E95B41">
      <w:r>
        <w:separator/>
      </w:r>
    </w:p>
  </w:endnote>
  <w:endnote w:type="continuationSeparator" w:id="1">
    <w:p w:rsidR="00E95B41" w:rsidRDefault="00E95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41" w:rsidRDefault="00E95B41">
      <w:r>
        <w:separator/>
      </w:r>
    </w:p>
  </w:footnote>
  <w:footnote w:type="continuationSeparator" w:id="1">
    <w:p w:rsidR="00E95B41" w:rsidRDefault="00E95B41">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45C"/>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1E2"/>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177F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95B41"/>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uiPriority w:val="99"/>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qFormat/>
    <w:rsid w:val="004D3A1B"/>
    <w:rPr>
      <w:sz w:val="24"/>
      <w:szCs w:val="24"/>
      <w:lang w:val="en-US" w:eastAsia="en-US"/>
    </w:rPr>
  </w:style>
  <w:style w:type="paragraph" w:styleId="ac">
    <w:name w:val="List Paragraph"/>
    <w:basedOn w:val="a"/>
    <w:uiPriority w:val="34"/>
    <w:qFormat/>
    <w:rsid w:val="00CF3E95"/>
    <w:pPr>
      <w:ind w:left="720"/>
      <w:contextualSpacing/>
    </w:pPr>
  </w:style>
  <w:style w:type="paragraph" w:customStyle="1" w:styleId="lf">
    <w:name w:val="lf"/>
    <w:basedOn w:val="a"/>
    <w:rsid w:val="00CF3E95"/>
    <w:rPr>
      <w:lang w:val="ru-RU" w:eastAsia="ru-RU"/>
    </w:rPr>
  </w:style>
  <w:style w:type="character" w:styleId="ad">
    <w:name w:val="Strong"/>
    <w:basedOn w:val="a0"/>
    <w:uiPriority w:val="22"/>
    <w:qFormat/>
    <w:rsid w:val="007500A2"/>
    <w:rPr>
      <w:b/>
      <w:bCs/>
    </w:rPr>
  </w:style>
  <w:style w:type="character" w:customStyle="1" w:styleId="docheader">
    <w:name w:val="doc_header"/>
    <w:basedOn w:val="a0"/>
    <w:rsid w:val="007500A2"/>
  </w:style>
  <w:style w:type="paragraph" w:styleId="2">
    <w:name w:val="Body Text Indent 2"/>
    <w:basedOn w:val="a"/>
    <w:link w:val="20"/>
    <w:rsid w:val="009A191F"/>
    <w:pPr>
      <w:spacing w:after="120" w:line="480" w:lineRule="auto"/>
      <w:ind w:left="283"/>
    </w:pPr>
  </w:style>
  <w:style w:type="character" w:customStyle="1" w:styleId="20">
    <w:name w:val="Основной текст с отступом 2 Знак"/>
    <w:basedOn w:val="a0"/>
    <w:link w:val="2"/>
    <w:rsid w:val="009A191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a.md/pageview.php?l=ro&amp;idc=430&amp;" TargetMode="Externa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3861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4</cp:revision>
  <cp:lastPrinted>2018-12-19T09:52:00Z</cp:lastPrinted>
  <dcterms:created xsi:type="dcterms:W3CDTF">2018-12-19T09:59:00Z</dcterms:created>
  <dcterms:modified xsi:type="dcterms:W3CDTF">2018-12-20T09:25:00Z</dcterms:modified>
</cp:coreProperties>
</file>