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C2A5A" w:rsidRDefault="007563B0" w:rsidP="004D3A1B">
            <w:pPr>
              <w:pStyle w:val="NoSpacing"/>
              <w:rPr>
                <w:lang w:val="ro-MD"/>
              </w:rPr>
            </w:pPr>
            <w:r w:rsidRPr="006F24B2">
              <w:rPr>
                <w:rFonts w:eastAsia="Calibri"/>
                <w:color w:val="000000" w:themeColor="text1"/>
                <w:lang w:val="ro-MD"/>
              </w:rPr>
              <w:t xml:space="preserve">Acordarea </w:t>
            </w:r>
            <w:r w:rsidRPr="006F24B2">
              <w:rPr>
                <w:lang w:val="ro-RO"/>
              </w:rPr>
              <w:t xml:space="preserve">consultanței, asistenței și sprijinirii inițierii unei afaceri șomerilor prin susținere financiară, crearea de locuri de muncă, dezvoltarea aptitudinilor antreprenoriale, stimularea dezvoltării întreprinderilor noi prin facilitarea accesului acestora la </w:t>
            </w:r>
            <w:proofErr w:type="spellStart"/>
            <w:r w:rsidRPr="006F24B2">
              <w:rPr>
                <w:lang w:val="ro-RO"/>
              </w:rPr>
              <w:t>finanţare</w:t>
            </w:r>
            <w:proofErr w:type="spellEnd"/>
            <w:r w:rsidRPr="006F24B2">
              <w:rPr>
                <w:lang w:val="ro-MD"/>
              </w:rPr>
              <w:t>.</w:t>
            </w:r>
          </w:p>
          <w:p w:rsidR="007563B0" w:rsidRPr="002C7DDD" w:rsidRDefault="007563B0"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563B0" w:rsidRDefault="009A191F" w:rsidP="007F0AAD">
            <w:pPr>
              <w:shd w:val="clear" w:color="auto" w:fill="FFFFFF" w:themeFill="background1"/>
              <w:ind w:left="1"/>
              <w:jc w:val="both"/>
              <w:rPr>
                <w:color w:val="000000" w:themeColor="text1"/>
                <w:lang w:val="it-IT"/>
              </w:rPr>
            </w:pPr>
            <w:r w:rsidRPr="009A191F">
              <w:rPr>
                <w:color w:val="000000" w:themeColor="text1"/>
                <w:lang w:val="it-IT"/>
              </w:rPr>
              <w:t>1.</w:t>
            </w:r>
            <w:proofErr w:type="spellStart"/>
            <w:r w:rsidR="007563B0" w:rsidRPr="007563B0">
              <w:rPr>
                <w:color w:val="000000"/>
              </w:rPr>
              <w:t>Planificarea</w:t>
            </w:r>
            <w:proofErr w:type="spellEnd"/>
            <w:r w:rsidR="007563B0" w:rsidRPr="007563B0">
              <w:rPr>
                <w:color w:val="000000"/>
              </w:rPr>
              <w:t xml:space="preserve"> </w:t>
            </w:r>
            <w:proofErr w:type="spellStart"/>
            <w:r w:rsidR="007563B0" w:rsidRPr="007563B0">
              <w:rPr>
                <w:color w:val="000000"/>
              </w:rPr>
              <w:t>activităților</w:t>
            </w:r>
            <w:proofErr w:type="spellEnd"/>
            <w:r w:rsidR="007563B0" w:rsidRPr="007563B0">
              <w:rPr>
                <w:color w:val="000000"/>
              </w:rPr>
              <w:t xml:space="preserve"> </w:t>
            </w:r>
            <w:proofErr w:type="spellStart"/>
            <w:r w:rsidR="007563B0" w:rsidRPr="007563B0">
              <w:rPr>
                <w:color w:val="000000"/>
              </w:rPr>
              <w:t>ce</w:t>
            </w:r>
            <w:proofErr w:type="spellEnd"/>
            <w:r w:rsidR="007563B0" w:rsidRPr="007563B0">
              <w:rPr>
                <w:color w:val="000000"/>
              </w:rPr>
              <w:t xml:space="preserve"> </w:t>
            </w:r>
            <w:r w:rsidR="007563B0" w:rsidRPr="007563B0">
              <w:rPr>
                <w:color w:val="000000"/>
                <w:lang w:val="ro-RO"/>
              </w:rPr>
              <w:t>țin de acordarea consultanței, asistenței și sprijinirii inițierii unei afaceri și susținerea proiectelor de inițiative locale</w:t>
            </w:r>
            <w:r w:rsidR="009C2A5A" w:rsidRPr="007563B0">
              <w:t>;</w:t>
            </w:r>
          </w:p>
          <w:p w:rsidR="002B7725" w:rsidRPr="007563B0" w:rsidRDefault="009A191F" w:rsidP="007F0AAD">
            <w:pPr>
              <w:shd w:val="clear" w:color="auto" w:fill="FFFFFF" w:themeFill="background1"/>
              <w:jc w:val="both"/>
            </w:pPr>
            <w:r w:rsidRPr="007563B0">
              <w:rPr>
                <w:color w:val="000000" w:themeColor="text1"/>
                <w:lang w:val="it-IT"/>
              </w:rPr>
              <w:t>2.</w:t>
            </w:r>
            <w:r w:rsidR="007563B0" w:rsidRPr="007563B0">
              <w:rPr>
                <w:rFonts w:eastAsia="Calibri"/>
                <w:color w:val="000000" w:themeColor="text1"/>
                <w:lang w:val="ro-MD"/>
              </w:rPr>
              <w:t xml:space="preserve"> Participarea la stabilirea parteneriatelor pe piața muncii la nivel local</w:t>
            </w:r>
            <w:r w:rsidR="009C2A5A" w:rsidRPr="007563B0">
              <w:t>;</w:t>
            </w:r>
          </w:p>
          <w:p w:rsidR="009C2A5A" w:rsidRPr="007563B0" w:rsidRDefault="009C2A5A" w:rsidP="007F0AAD">
            <w:pPr>
              <w:pStyle w:val="ListParagraph"/>
              <w:ind w:left="0"/>
              <w:jc w:val="both"/>
            </w:pPr>
            <w:r w:rsidRPr="007563B0">
              <w:t>3.</w:t>
            </w:r>
            <w:r w:rsidR="007563B0" w:rsidRPr="007563B0">
              <w:rPr>
                <w:lang w:val="ro-RO"/>
              </w:rPr>
              <w:t xml:space="preserve"> Perfectarea documentelor, contractelor cu beneficiarii măsurilor de consultanță pentru inițierea unei activități independente sau a unei afaceri și subvenții pentru susținerea proiectelor de inițiative locale</w:t>
            </w:r>
            <w:r w:rsidRPr="007563B0">
              <w:t>;</w:t>
            </w:r>
          </w:p>
          <w:p w:rsidR="009C2A5A" w:rsidRPr="007563B0" w:rsidRDefault="009C2A5A" w:rsidP="007F0AAD">
            <w:pPr>
              <w:pStyle w:val="ListParagraph"/>
              <w:ind w:left="0"/>
              <w:jc w:val="both"/>
            </w:pPr>
            <w:r w:rsidRPr="007563B0">
              <w:t xml:space="preserve">4. </w:t>
            </w:r>
            <w:r w:rsidR="007563B0" w:rsidRPr="007563B0">
              <w:rPr>
                <w:lang w:val="ro-RO"/>
              </w:rPr>
              <w:t>Evaluarea preliminară a dosarelor beneficiarilor și prezentarea Comitetului de evaluare</w:t>
            </w:r>
            <w:r w:rsidRPr="007563B0">
              <w:t>;</w:t>
            </w:r>
          </w:p>
          <w:p w:rsidR="009C2A5A" w:rsidRPr="007563B0" w:rsidRDefault="009C2A5A" w:rsidP="007F0AAD">
            <w:pPr>
              <w:pStyle w:val="ListParagraph"/>
              <w:ind w:left="0"/>
              <w:jc w:val="both"/>
            </w:pPr>
            <w:r w:rsidRPr="007563B0">
              <w:t xml:space="preserve">5. </w:t>
            </w:r>
            <w:r w:rsidR="007563B0" w:rsidRPr="007563B0">
              <w:rPr>
                <w:lang w:val="ro-RO"/>
              </w:rPr>
              <w:t>Monitorizarea utilizării mijloacelor financiare, menținerea locurilor de muncă create ca urmare a acordării subvențiilor pentru crearea locurilor noi de muncă, inclusiv prin vizitarea angajatorilor</w:t>
            </w:r>
            <w:r w:rsidRPr="007563B0">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7563B0" w:rsidRPr="006F24B2" w:rsidRDefault="004D3A1B" w:rsidP="007563B0">
            <w:pPr>
              <w:ind w:left="34"/>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9C2A5A" w:rsidRPr="00900EC4">
              <w:rPr>
                <w:rFonts w:eastAsia="Calibri"/>
                <w:lang w:val="ro-MD"/>
              </w:rPr>
              <w:t>Superioare,</w:t>
            </w:r>
            <w:r w:rsidR="007563B0" w:rsidRPr="006F24B2">
              <w:rPr>
                <w:lang w:val="ro-RO"/>
              </w:rPr>
              <w:t xml:space="preserve"> în domeniul psihologiei, pedagogiei, economiei, </w:t>
            </w:r>
            <w:proofErr w:type="spellStart"/>
            <w:r w:rsidR="007563B0" w:rsidRPr="006F24B2">
              <w:rPr>
                <w:lang w:val="ro-RO"/>
              </w:rPr>
              <w:t>asistenţei</w:t>
            </w:r>
            <w:proofErr w:type="spellEnd"/>
            <w:r w:rsidR="007563B0" w:rsidRPr="006F24B2">
              <w:rPr>
                <w:lang w:val="ro-RO"/>
              </w:rPr>
              <w:t xml:space="preserve"> sociale, administrației publice, tehnologiilor </w:t>
            </w:r>
            <w:proofErr w:type="spellStart"/>
            <w:r w:rsidR="007563B0" w:rsidRPr="006F24B2">
              <w:rPr>
                <w:lang w:val="ro-RO"/>
              </w:rPr>
              <w:t>informaţionale</w:t>
            </w:r>
            <w:proofErr w:type="spellEnd"/>
            <w:r w:rsidR="007563B0" w:rsidRPr="006F24B2">
              <w:rPr>
                <w:rFonts w:eastAsia="Calibri"/>
                <w:lang w:val="ro-MD"/>
              </w:rPr>
              <w:t>.</w:t>
            </w:r>
          </w:p>
          <w:p w:rsidR="009C2A5A" w:rsidRDefault="009C2A5A" w:rsidP="004D3A1B">
            <w:pPr>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7563B0" w:rsidRPr="006F24B2" w:rsidRDefault="007563B0" w:rsidP="007563B0">
            <w:pPr>
              <w:pStyle w:val="lf"/>
              <w:rPr>
                <w:lang w:val="ro-RO"/>
              </w:rPr>
            </w:pPr>
            <w:r>
              <w:rPr>
                <w:lang w:val="ro-RO"/>
              </w:rPr>
              <w:t>-</w:t>
            </w:r>
            <w:r w:rsidRPr="006F24B2">
              <w:rPr>
                <w:lang w:val="ro-RO"/>
              </w:rPr>
              <w:t>Cunoașterea și aplicarea în practică a legislației în domeniu;</w:t>
            </w:r>
          </w:p>
          <w:p w:rsidR="007563B0" w:rsidRPr="006F24B2" w:rsidRDefault="007563B0" w:rsidP="007563B0">
            <w:pPr>
              <w:pStyle w:val="NoSpacing"/>
              <w:tabs>
                <w:tab w:val="left" w:pos="851"/>
                <w:tab w:val="left" w:pos="993"/>
              </w:tabs>
              <w:rPr>
                <w:lang w:val="ro-RO"/>
              </w:rPr>
            </w:pPr>
            <w:r>
              <w:rPr>
                <w:lang w:val="ro-RO"/>
              </w:rPr>
              <w:t>-</w:t>
            </w:r>
            <w:r w:rsidRPr="006F24B2">
              <w:rPr>
                <w:lang w:val="ro-RO"/>
              </w:rPr>
              <w:t>Cunoașterea și aplicarea în practică procedurilor legii cu privire la promovarea ocupării forței de muncă și asigurarea de șomaj;</w:t>
            </w:r>
          </w:p>
          <w:p w:rsidR="007563B0" w:rsidRPr="00D25225" w:rsidRDefault="007563B0" w:rsidP="007563B0">
            <w:pPr>
              <w:jc w:val="both"/>
              <w:rPr>
                <w:lang w:val="ro-MD"/>
              </w:rPr>
            </w:pPr>
            <w:r>
              <w:rPr>
                <w:lang w:val="ro-MD"/>
              </w:rPr>
              <w:t>-</w:t>
            </w:r>
            <w:r w:rsidRPr="00D25225">
              <w:rPr>
                <w:lang w:val="ro-MD"/>
              </w:rPr>
              <w:t>Limba de stat, limba rusă, limba engleză un avantaj.</w:t>
            </w:r>
          </w:p>
          <w:p w:rsidR="00621E2F" w:rsidRDefault="007563B0" w:rsidP="007563B0">
            <w:pPr>
              <w:jc w:val="both"/>
              <w:rPr>
                <w:lang w:val="ro-RO"/>
              </w:rPr>
            </w:pPr>
            <w:r>
              <w:rPr>
                <w:lang w:val="ro-MD"/>
              </w:rPr>
              <w:t>-</w:t>
            </w:r>
            <w:r w:rsidRPr="006F24B2">
              <w:rPr>
                <w:lang w:val="ro-RO"/>
              </w:rPr>
              <w:t xml:space="preserve">Cunoștințe avansate de utilizare a calculatorului: Word, Excel, PowerPoint, </w:t>
            </w:r>
            <w:proofErr w:type="spellStart"/>
            <w:r w:rsidRPr="006F24B2">
              <w:rPr>
                <w:lang w:val="ro-RO"/>
              </w:rPr>
              <w:t>Accees</w:t>
            </w:r>
            <w:proofErr w:type="spellEnd"/>
            <w:r w:rsidRPr="006F24B2">
              <w:rPr>
                <w:lang w:val="ro-RO"/>
              </w:rPr>
              <w:t xml:space="preserve"> etc;</w:t>
            </w:r>
          </w:p>
          <w:p w:rsidR="007563B0" w:rsidRPr="002C7DDD" w:rsidRDefault="007563B0" w:rsidP="007563B0">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7563B0" w:rsidRDefault="007563B0" w:rsidP="004D3A1B">
            <w:pPr>
              <w:jc w:val="both"/>
              <w:rPr>
                <w:color w:val="000000" w:themeColor="text1"/>
                <w:lang w:val="ro-MD"/>
              </w:rPr>
            </w:pPr>
          </w:p>
          <w:p w:rsidR="007563B0" w:rsidRDefault="007563B0" w:rsidP="004D3A1B">
            <w:pPr>
              <w:jc w:val="both"/>
              <w:rPr>
                <w:color w:val="000000" w:themeColor="text1"/>
                <w:lang w:val="ro-MD"/>
              </w:rPr>
            </w:pPr>
          </w:p>
          <w:p w:rsidR="007563B0" w:rsidRPr="002B7725" w:rsidRDefault="007563B0"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C56938">
              <w:rPr>
                <w:b/>
                <w:color w:val="000000" w:themeColor="text1"/>
                <w:u w:val="single"/>
                <w:lang w:val="ro-RO"/>
              </w:rPr>
              <w:t>7 iulie</w:t>
            </w:r>
            <w:bookmarkStart w:id="0" w:name="_GoBack"/>
            <w:bookmarkEnd w:id="0"/>
            <w:r w:rsidRPr="002C7DDD">
              <w:rPr>
                <w:b/>
                <w:color w:val="000000" w:themeColor="text1"/>
                <w:u w:val="single"/>
                <w:lang w:val="ro-RO"/>
              </w:rPr>
              <w:t xml:space="preserve"> 201</w:t>
            </w:r>
            <w:r w:rsidR="00930BE5">
              <w:rPr>
                <w:b/>
                <w:color w:val="000000" w:themeColor="text1"/>
                <w:u w:val="single"/>
                <w:lang w:val="ro-RO"/>
              </w:rPr>
              <w:t>9</w:t>
            </w:r>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36EE" w:rsidRDefault="00D536EE">
      <w:r>
        <w:separator/>
      </w:r>
    </w:p>
  </w:endnote>
  <w:endnote w:type="continuationSeparator" w:id="0">
    <w:p w:rsidR="00D536EE" w:rsidRDefault="00D5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36EE" w:rsidRDefault="00D536EE">
      <w:r>
        <w:separator/>
      </w:r>
    </w:p>
  </w:footnote>
  <w:footnote w:type="continuationSeparator" w:id="0">
    <w:p w:rsidR="00D536EE" w:rsidRDefault="00D536EE">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A7C36"/>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3B0"/>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3E16"/>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56938"/>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36EE"/>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D58DA"/>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711</Words>
  <Characters>4053</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4755</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4</cp:revision>
  <cp:lastPrinted>2018-12-19T09:52:00Z</cp:lastPrinted>
  <dcterms:created xsi:type="dcterms:W3CDTF">2019-05-03T06:24:00Z</dcterms:created>
  <dcterms:modified xsi:type="dcterms:W3CDTF">2019-06-11T11:42:00Z</dcterms:modified>
</cp:coreProperties>
</file>