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2E1969"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w:t>
            </w:r>
            <w:r w:rsidR="00A746F3" w:rsidRPr="002C7DDD">
              <w:rPr>
                <w:b/>
                <w:color w:val="000000" w:themeColor="text1"/>
                <w:sz w:val="28"/>
                <w:szCs w:val="28"/>
                <w:lang w:val="ro-RO"/>
              </w:rPr>
              <w:t>nunţă</w:t>
            </w:r>
            <w:r>
              <w:rPr>
                <w:b/>
                <w:color w:val="000000" w:themeColor="text1"/>
                <w:sz w:val="28"/>
                <w:szCs w:val="28"/>
                <w:lang w:val="ro-RO"/>
              </w:rPr>
              <w:t xml:space="preserve"> prelungire</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E84210" w:rsidRDefault="00E84210" w:rsidP="00300B16">
            <w:pPr>
              <w:rPr>
                <w:b/>
                <w:color w:val="000000" w:themeColor="text1"/>
              </w:rPr>
            </w:pPr>
          </w:p>
          <w:p w:rsidR="004D3A1B" w:rsidRDefault="004D3A1B" w:rsidP="00300B16">
            <w:pP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300B16">
              <w:rPr>
                <w:b/>
                <w:color w:val="000000" w:themeColor="text1"/>
                <w:lang w:val="ro-RO"/>
              </w:rPr>
              <w:t>Serviciul m</w:t>
            </w:r>
            <w:r w:rsidR="00C76CA2">
              <w:rPr>
                <w:b/>
                <w:color w:val="000000" w:themeColor="text1"/>
                <w:lang w:val="ro-RO"/>
              </w:rPr>
              <w:t>onitorizare</w:t>
            </w:r>
            <w:r w:rsidRPr="002C7DDD">
              <w:rPr>
                <w:b/>
                <w:color w:val="000000" w:themeColor="text1"/>
                <w:lang w:val="ro-RO"/>
              </w:rPr>
              <w:t xml:space="preserve"> a</w:t>
            </w:r>
            <w:r w:rsidR="00E84210">
              <w:rPr>
                <w:b/>
                <w:color w:val="000000" w:themeColor="text1"/>
                <w:lang w:val="ro-RO"/>
              </w:rPr>
              <w:t>l</w:t>
            </w:r>
            <w:r w:rsidRPr="002C7DDD">
              <w:rPr>
                <w:b/>
                <w:color w:val="000000" w:themeColor="text1"/>
                <w:lang w:val="ro-RO"/>
              </w:rPr>
              <w:t xml:space="preserve"> Agenţiei Naționale</w:t>
            </w:r>
            <w:r w:rsidR="001426CA">
              <w:rPr>
                <w:b/>
                <w:color w:val="000000" w:themeColor="text1"/>
                <w:lang w:val="ro-RO"/>
              </w:rPr>
              <w:t xml:space="preserve"> pentru Ocuparea Forței de Muncă</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1426CA" w:rsidRPr="00300B16" w:rsidRDefault="001426CA" w:rsidP="00B5146A">
            <w:pPr>
              <w:pStyle w:val="NoSpacing"/>
              <w:jc w:val="both"/>
              <w:rPr>
                <w:lang w:val="ro-RO"/>
              </w:rPr>
            </w:pPr>
            <w:r w:rsidRPr="00300B16">
              <w:rPr>
                <w:lang w:val="ro-RO"/>
              </w:rPr>
              <w:t>Planificarea și monitorizarea activității Agenției Naționale pentru Ocuparea Forței de Muncă ce ține de măsurile de ocupare a forței de muncă la nivel național și teritorial.</w:t>
            </w:r>
          </w:p>
          <w:p w:rsidR="003621E2" w:rsidRPr="00300B16" w:rsidRDefault="00C76CA2" w:rsidP="004D3A1B">
            <w:pPr>
              <w:pStyle w:val="NoSpacing"/>
              <w:rPr>
                <w:lang w:val="ro-RO"/>
              </w:rPr>
            </w:pPr>
            <w:r w:rsidRPr="00300B16">
              <w:rPr>
                <w:lang w:val="ro-RO"/>
              </w:rPr>
              <w:t xml:space="preserve"> </w:t>
            </w:r>
          </w:p>
          <w:p w:rsidR="003621E2" w:rsidRPr="005872CE" w:rsidRDefault="004D3A1B" w:rsidP="003621E2">
            <w:pPr>
              <w:jc w:val="both"/>
              <w:rPr>
                <w:b/>
                <w:color w:val="000000" w:themeColor="text1"/>
                <w:lang w:val="ro-RO"/>
              </w:rPr>
            </w:pPr>
            <w:r w:rsidRPr="005872CE">
              <w:rPr>
                <w:b/>
                <w:color w:val="000000" w:themeColor="text1"/>
                <w:lang w:val="ro-RO"/>
              </w:rPr>
              <w:t>Sarcinile de bază</w:t>
            </w:r>
            <w:r w:rsidR="009A191F" w:rsidRPr="005872CE">
              <w:rPr>
                <w:b/>
                <w:color w:val="000000" w:themeColor="text1"/>
                <w:lang w:val="ro-RO"/>
              </w:rPr>
              <w:t>:</w:t>
            </w:r>
          </w:p>
          <w:p w:rsidR="00AB0AF0" w:rsidRPr="005872CE" w:rsidRDefault="003621E2" w:rsidP="003621E2">
            <w:pPr>
              <w:jc w:val="both"/>
              <w:rPr>
                <w:lang w:val="ro-RO"/>
              </w:rPr>
            </w:pPr>
            <w:r w:rsidRPr="005872CE">
              <w:rPr>
                <w:color w:val="000000" w:themeColor="text1"/>
                <w:lang w:val="ro-RO"/>
              </w:rPr>
              <w:t>1.</w:t>
            </w:r>
            <w:r w:rsidR="00F84859" w:rsidRPr="005872CE">
              <w:rPr>
                <w:lang w:val="ro-RO"/>
              </w:rPr>
              <w:t xml:space="preserve"> </w:t>
            </w:r>
            <w:r w:rsidR="00AB0AF0" w:rsidRPr="005872CE">
              <w:rPr>
                <w:lang w:val="ro-RO"/>
              </w:rPr>
              <w:t>E</w:t>
            </w:r>
            <w:r w:rsidR="005872CE" w:rsidRPr="005872CE">
              <w:rPr>
                <w:lang w:val="ro-RO"/>
              </w:rPr>
              <w:t xml:space="preserve">laborarea </w:t>
            </w:r>
            <w:r w:rsidR="001426CA">
              <w:rPr>
                <w:lang w:val="ro-RO"/>
              </w:rPr>
              <w:t>P</w:t>
            </w:r>
            <w:r w:rsidR="005872CE" w:rsidRPr="005872CE">
              <w:rPr>
                <w:lang w:val="ro-RO"/>
              </w:rPr>
              <w:t xml:space="preserve">lanului </w:t>
            </w:r>
            <w:r w:rsidR="00AB0AF0" w:rsidRPr="005872CE">
              <w:rPr>
                <w:lang w:val="ro-RO"/>
              </w:rPr>
              <w:t>anual de măsuri de ocupare a forței de muncă</w:t>
            </w:r>
            <w:r w:rsidR="001426CA">
              <w:rPr>
                <w:lang w:val="ro-RO"/>
              </w:rPr>
              <w:t xml:space="preserve"> al Agentei Naționale pentru Ocuparea Forței de Muncă</w:t>
            </w:r>
            <w:r w:rsidR="00AB0AF0" w:rsidRPr="005872CE">
              <w:rPr>
                <w:lang w:val="ro-RO"/>
              </w:rPr>
              <w:t>, inclusiv planificarea indicatorilor ce țin de măsurile de ocupare a forței de muncă la nivel național și teritorial</w:t>
            </w:r>
            <w:r w:rsidR="005872CE" w:rsidRPr="005872CE">
              <w:rPr>
                <w:lang w:val="ro-RO"/>
              </w:rPr>
              <w:t xml:space="preserve"> și monitorizarea</w:t>
            </w:r>
            <w:r w:rsidR="001426CA">
              <w:rPr>
                <w:lang w:val="ro-RO"/>
              </w:rPr>
              <w:t xml:space="preserve"> realizării</w:t>
            </w:r>
            <w:r w:rsidR="00AB0AF0" w:rsidRPr="005872CE">
              <w:rPr>
                <w:lang w:val="ro-RO"/>
              </w:rPr>
              <w:t>.</w:t>
            </w:r>
          </w:p>
          <w:p w:rsidR="00AB0AF0" w:rsidRPr="005872CE" w:rsidRDefault="00AB0AF0" w:rsidP="00AB0AF0">
            <w:pPr>
              <w:pStyle w:val="NoSpacing"/>
              <w:jc w:val="both"/>
              <w:rPr>
                <w:lang w:val="ro-RO"/>
              </w:rPr>
            </w:pPr>
            <w:r w:rsidRPr="005872CE">
              <w:rPr>
                <w:lang w:val="ro-RO"/>
              </w:rPr>
              <w:t xml:space="preserve">2. Monitorizarea informației statistice cu privire la persoanele </w:t>
            </w:r>
            <w:r w:rsidR="001426CA">
              <w:rPr>
                <w:lang w:val="ro-RO"/>
              </w:rPr>
              <w:t xml:space="preserve">aflate în căutarea </w:t>
            </w:r>
            <w:r w:rsidRPr="005872CE">
              <w:rPr>
                <w:lang w:val="ro-RO"/>
              </w:rPr>
              <w:t>unui loc de muncă și șomerii care se înregistrează la subdiviziunile teritoriale pentru ocuparea forței de muncă și locurile de muncă vacante;</w:t>
            </w:r>
          </w:p>
          <w:p w:rsidR="00AB0AF0" w:rsidRPr="005872CE" w:rsidRDefault="00AB0AF0" w:rsidP="00AB0AF0">
            <w:pPr>
              <w:pStyle w:val="NoSpacing"/>
              <w:jc w:val="both"/>
              <w:rPr>
                <w:lang w:val="ro-RO"/>
              </w:rPr>
            </w:pPr>
            <w:r w:rsidRPr="005872CE">
              <w:rPr>
                <w:lang w:val="ro-RO"/>
              </w:rPr>
              <w:t xml:space="preserve">3) Monitorizarea informației statistice cu privire la </w:t>
            </w:r>
            <w:r w:rsidR="001426CA">
              <w:rPr>
                <w:lang w:val="ro-RO"/>
              </w:rPr>
              <w:t>realizarea</w:t>
            </w:r>
            <w:r w:rsidRPr="005872CE">
              <w:rPr>
                <w:lang w:val="ro-RO"/>
              </w:rPr>
              <w:t xml:space="preserve"> indicatorilor ce țin de măsurile de ocupare a forței de muncă</w:t>
            </w:r>
            <w:r w:rsidR="001426CA">
              <w:rPr>
                <w:lang w:val="ro-RO"/>
              </w:rPr>
              <w:t xml:space="preserve"> la nivel național și teritorial</w:t>
            </w:r>
            <w:r w:rsidRPr="005872CE">
              <w:rPr>
                <w:lang w:val="ro-RO"/>
              </w:rPr>
              <w:t>.</w:t>
            </w:r>
          </w:p>
          <w:p w:rsidR="005872CE" w:rsidRPr="005872CE" w:rsidRDefault="00AB0AF0" w:rsidP="00AB0AF0">
            <w:pPr>
              <w:pStyle w:val="NoSpacing"/>
              <w:jc w:val="both"/>
              <w:rPr>
                <w:color w:val="000000" w:themeColor="text1"/>
                <w:lang w:val="ro-RO"/>
              </w:rPr>
            </w:pPr>
            <w:r w:rsidRPr="005872CE">
              <w:rPr>
                <w:lang w:val="ro-RO"/>
              </w:rPr>
              <w:t xml:space="preserve">4) </w:t>
            </w:r>
            <w:r w:rsidR="00F84859" w:rsidRPr="005872CE">
              <w:rPr>
                <w:color w:val="000000" w:themeColor="text1"/>
                <w:lang w:val="ro-RO"/>
              </w:rPr>
              <w:t>Elaborarea rapoartelor</w:t>
            </w:r>
            <w:r w:rsidR="001426CA">
              <w:rPr>
                <w:color w:val="000000" w:themeColor="text1"/>
                <w:lang w:val="ro-RO"/>
              </w:rPr>
              <w:t>,</w:t>
            </w:r>
            <w:r w:rsidR="00F84859" w:rsidRPr="005872CE">
              <w:rPr>
                <w:color w:val="000000" w:themeColor="text1"/>
                <w:lang w:val="ro-RO"/>
              </w:rPr>
              <w:t xml:space="preserve"> </w:t>
            </w:r>
            <w:r w:rsidR="001426CA" w:rsidRPr="005872CE">
              <w:rPr>
                <w:color w:val="000000" w:themeColor="text1"/>
                <w:lang w:val="ro-RO"/>
              </w:rPr>
              <w:t>notelor informative</w:t>
            </w:r>
            <w:r w:rsidR="00F84859" w:rsidRPr="005872CE">
              <w:rPr>
                <w:color w:val="000000" w:themeColor="text1"/>
                <w:lang w:val="ro-RO"/>
              </w:rPr>
              <w:t xml:space="preserve">, buletinelor informative privind activitatea </w:t>
            </w:r>
            <w:r w:rsidR="001426CA">
              <w:rPr>
                <w:lang w:val="ro-RO"/>
              </w:rPr>
              <w:t xml:space="preserve">Agentei Naționale pentru Ocuparea Forței de Muncă </w:t>
            </w:r>
            <w:r w:rsidR="001426CA" w:rsidRPr="001426CA">
              <w:rPr>
                <w:lang w:val="ro-RO"/>
              </w:rPr>
              <w:t>ce ține de măsurile de ocupare a forței de muncă</w:t>
            </w:r>
            <w:r w:rsidR="001426CA">
              <w:rPr>
                <w:lang w:val="ro-RO"/>
              </w:rPr>
              <w:t>.</w:t>
            </w:r>
          </w:p>
          <w:p w:rsidR="005872CE" w:rsidRDefault="005872CE" w:rsidP="005872CE">
            <w:pPr>
              <w:pStyle w:val="NoSpacing"/>
              <w:jc w:val="both"/>
              <w:rPr>
                <w:lang w:val="ro-RO"/>
              </w:rPr>
            </w:pPr>
            <w:r>
              <w:rPr>
                <w:color w:val="000000" w:themeColor="text1"/>
                <w:lang w:val="it-IT"/>
              </w:rPr>
              <w:t>5)</w:t>
            </w:r>
            <w:r w:rsidR="001426CA">
              <w:rPr>
                <w:color w:val="000000" w:themeColor="text1"/>
                <w:lang w:val="it-IT"/>
              </w:rPr>
              <w:t xml:space="preserve"> C</w:t>
            </w:r>
            <w:r>
              <w:rPr>
                <w:color w:val="000000" w:themeColor="text1"/>
                <w:lang w:val="it-IT"/>
              </w:rPr>
              <w:t xml:space="preserve">oordonarea și </w:t>
            </w:r>
            <w:r>
              <w:rPr>
                <w:lang w:val="ro-RO"/>
              </w:rPr>
              <w:t xml:space="preserve">oferirea suportului subdiviziunilor teritoriale pentru ocuparea forței de muncă în </w:t>
            </w:r>
            <w:r w:rsidR="001426CA">
              <w:rPr>
                <w:lang w:val="ro-RO"/>
              </w:rPr>
              <w:t>planificare,</w:t>
            </w:r>
            <w:r>
              <w:rPr>
                <w:lang w:val="ro-RO"/>
              </w:rPr>
              <w:t xml:space="preserve"> monitorizare</w:t>
            </w:r>
            <w:r w:rsidR="001426CA">
              <w:rPr>
                <w:lang w:val="ro-RO"/>
              </w:rPr>
              <w:t xml:space="preserve"> </w:t>
            </w:r>
            <w:r>
              <w:rPr>
                <w:lang w:val="ro-RO"/>
              </w:rPr>
              <w:t xml:space="preserve">a </w:t>
            </w:r>
            <w:r w:rsidRPr="00E872C0">
              <w:rPr>
                <w:lang w:val="ro-RO"/>
              </w:rPr>
              <w:t xml:space="preserve">informației statistice cu privire la persoanele </w:t>
            </w:r>
            <w:r>
              <w:rPr>
                <w:lang w:val="ro-RO"/>
              </w:rPr>
              <w:t>aflate în</w:t>
            </w:r>
            <w:r w:rsidRPr="00E872C0">
              <w:rPr>
                <w:lang w:val="ro-RO"/>
              </w:rPr>
              <w:t xml:space="preserve"> căutarea unui loc de muncă</w:t>
            </w:r>
            <w:r>
              <w:rPr>
                <w:lang w:val="ro-RO"/>
              </w:rPr>
              <w:t>,</w:t>
            </w:r>
            <w:r w:rsidRPr="00E872C0">
              <w:rPr>
                <w:lang w:val="ro-RO"/>
              </w:rPr>
              <w:t xml:space="preserve"> șomeri</w:t>
            </w:r>
            <w:r w:rsidR="001426CA">
              <w:rPr>
                <w:lang w:val="ro-RO"/>
              </w:rPr>
              <w:t>,</w:t>
            </w:r>
            <w:r w:rsidRPr="00E872C0">
              <w:rPr>
                <w:lang w:val="ro-RO"/>
              </w:rPr>
              <w:t xml:space="preserve"> locurile de muncă </w:t>
            </w:r>
            <w:r>
              <w:rPr>
                <w:lang w:val="ro-RO"/>
              </w:rPr>
              <w:t xml:space="preserve">vacante și </w:t>
            </w:r>
            <w:r w:rsidR="001426CA">
              <w:rPr>
                <w:lang w:val="ro-RO"/>
              </w:rPr>
              <w:t xml:space="preserve">indicatorii ce țin de </w:t>
            </w:r>
            <w:r>
              <w:rPr>
                <w:lang w:val="ro-RO"/>
              </w:rPr>
              <w:t>măsurile de ocupare a forței de muncă</w:t>
            </w:r>
          </w:p>
          <w:p w:rsidR="005872CE" w:rsidRPr="00E872C0" w:rsidRDefault="005872CE" w:rsidP="005872CE">
            <w:pPr>
              <w:pStyle w:val="NoSpacing"/>
              <w:jc w:val="both"/>
              <w:rPr>
                <w:lang w:val="ro-RO"/>
              </w:rPr>
            </w:pPr>
            <w:r>
              <w:rPr>
                <w:lang w:val="ro-RO"/>
              </w:rPr>
              <w:t xml:space="preserve">6) </w:t>
            </w:r>
            <w:r w:rsidR="001426CA">
              <w:rPr>
                <w:lang w:val="ro-RO"/>
              </w:rPr>
              <w:t>C</w:t>
            </w:r>
            <w:r>
              <w:rPr>
                <w:lang w:val="ro-RO"/>
              </w:rPr>
              <w:t>oordonarea activităților ce țin de dezvoltarea parteneriatului social pe piața muncii</w:t>
            </w:r>
            <w:r w:rsidRPr="00B44264">
              <w:rPr>
                <w:lang w:val="ro-RO"/>
              </w:rPr>
              <w:t xml:space="preserve"> prin intermediul Consiliului tripartit pe lângă </w:t>
            </w:r>
            <w:r w:rsidR="001426CA">
              <w:rPr>
                <w:lang w:val="ro-RO"/>
              </w:rPr>
              <w:t xml:space="preserve">Agenția Națională pentru Ocuparea Forței de Muncă </w:t>
            </w:r>
            <w:r w:rsidRPr="00B44264">
              <w:rPr>
                <w:lang w:val="ro-RO"/>
              </w:rPr>
              <w:t>și consiliile tripartite pe lângă fiecare subdiviziune teritorială</w:t>
            </w:r>
            <w:r w:rsidR="001426CA">
              <w:rPr>
                <w:lang w:val="ro-RO"/>
              </w:rPr>
              <w:t xml:space="preserve"> pentru ocuparea forței de muncă</w:t>
            </w:r>
            <w:r w:rsidRPr="00B44264">
              <w:rPr>
                <w:lang w:val="ro-RO"/>
              </w:rPr>
              <w:t>.</w:t>
            </w:r>
          </w:p>
          <w:p w:rsidR="003621E2" w:rsidRPr="005872CE" w:rsidRDefault="003621E2" w:rsidP="003621E2">
            <w:pPr>
              <w:jc w:val="both"/>
              <w:rPr>
                <w:b/>
                <w:color w:val="000000" w:themeColor="text1"/>
                <w:lang w:val="ro-RO"/>
              </w:rPr>
            </w:pPr>
          </w:p>
          <w:p w:rsidR="004D3A1B" w:rsidRPr="002C7DDD" w:rsidRDefault="004D3A1B" w:rsidP="003621E2">
            <w:pPr>
              <w:jc w:val="both"/>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w:t>
            </w:r>
          </w:p>
          <w:p w:rsidR="002C7DDD" w:rsidRDefault="002C7DDD"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deţinerea cetăţeniei Republicii Moldova;</w:t>
            </w:r>
          </w:p>
          <w:p w:rsidR="001E2E37" w:rsidRPr="002C7DDD" w:rsidRDefault="001E2E37" w:rsidP="001E2E37">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prezența studiilor necesare prevăzute;</w:t>
            </w:r>
          </w:p>
          <w:p w:rsidR="00782872" w:rsidRPr="002C7DDD" w:rsidRDefault="004D3A1B"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4D3A1B" w:rsidRPr="002C7DDD" w:rsidRDefault="0028643F" w:rsidP="00E84210">
            <w:pPr>
              <w:pStyle w:val="NormalWeb"/>
              <w:numPr>
                <w:ilvl w:val="0"/>
                <w:numId w:val="7"/>
              </w:numPr>
              <w:tabs>
                <w:tab w:val="left" w:pos="342"/>
              </w:tabs>
              <w:ind w:left="72" w:hanging="72"/>
              <w:jc w:val="left"/>
              <w:rPr>
                <w:color w:val="000000" w:themeColor="text1"/>
                <w:lang w:val="ro-RO"/>
              </w:rPr>
            </w:pPr>
            <w:r>
              <w:rPr>
                <w:color w:val="000000" w:themeColor="text1"/>
                <w:lang w:val="ro-RO"/>
              </w:rPr>
              <w:t xml:space="preserve">neatingerea vîrstei </w:t>
            </w:r>
            <w:r w:rsidRPr="0028643F">
              <w:rPr>
                <w:color w:val="000000"/>
                <w:lang w:val="en-US"/>
              </w:rPr>
              <w:t xml:space="preserve">de 63 de </w:t>
            </w:r>
            <w:proofErr w:type="spellStart"/>
            <w:r w:rsidRPr="0028643F">
              <w:rPr>
                <w:color w:val="000000"/>
                <w:lang w:val="en-US"/>
              </w:rPr>
              <w:t>ani</w:t>
            </w:r>
            <w:proofErr w:type="spellEnd"/>
            <w:r w:rsidR="004D3A1B" w:rsidRPr="002C7DDD">
              <w:rPr>
                <w:color w:val="000000" w:themeColor="text1"/>
                <w:lang w:val="ro-RO"/>
              </w:rPr>
              <w:t xml:space="preserve">; </w:t>
            </w:r>
          </w:p>
          <w:p w:rsidR="004D3A1B" w:rsidRPr="002C7DDD" w:rsidRDefault="004D3A1B" w:rsidP="00E84210">
            <w:pPr>
              <w:pStyle w:val="NormalWeb"/>
              <w:numPr>
                <w:ilvl w:val="0"/>
                <w:numId w:val="7"/>
              </w:numPr>
              <w:tabs>
                <w:tab w:val="left" w:pos="342"/>
              </w:tabs>
              <w:ind w:left="72" w:hanging="72"/>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1426CA" w:rsidRDefault="004D3A1B" w:rsidP="00E84210">
            <w:pPr>
              <w:pStyle w:val="NormalWeb"/>
              <w:numPr>
                <w:ilvl w:val="0"/>
                <w:numId w:val="7"/>
              </w:numPr>
              <w:tabs>
                <w:tab w:val="left" w:pos="342"/>
              </w:tabs>
              <w:ind w:left="72" w:hanging="72"/>
              <w:jc w:val="left"/>
              <w:rPr>
                <w:color w:val="000000" w:themeColor="text1"/>
                <w:lang w:val="ro-RO"/>
              </w:rPr>
            </w:pPr>
            <w:r w:rsidRPr="001426CA">
              <w:rPr>
                <w:color w:val="000000" w:themeColor="text1"/>
                <w:lang w:val="ro-RO"/>
              </w:rPr>
              <w:t>neprivarea de dreptul de a ocupa funcţii publice</w:t>
            </w:r>
            <w:r w:rsidR="00782872" w:rsidRPr="001426CA">
              <w:rPr>
                <w:color w:val="000000" w:themeColor="text1"/>
                <w:lang w:val="ro-RO"/>
              </w:rPr>
              <w:t>;</w:t>
            </w:r>
          </w:p>
          <w:p w:rsidR="00782872" w:rsidRPr="001426CA" w:rsidRDefault="00782872" w:rsidP="00E84210">
            <w:pPr>
              <w:pStyle w:val="NormalWeb"/>
              <w:numPr>
                <w:ilvl w:val="0"/>
                <w:numId w:val="7"/>
              </w:numPr>
              <w:tabs>
                <w:tab w:val="left" w:pos="342"/>
              </w:tabs>
              <w:ind w:left="72" w:hanging="72"/>
              <w:jc w:val="left"/>
              <w:rPr>
                <w:color w:val="000000" w:themeColor="text1"/>
                <w:lang w:val="ro-RO"/>
              </w:rPr>
            </w:pPr>
            <w:r w:rsidRPr="001426CA">
              <w:rPr>
                <w:color w:val="000000" w:themeColor="text1"/>
                <w:lang w:val="ro-RO"/>
              </w:rPr>
              <w:t>nedestituire dintr-o funcţie sau  neîncetare a  contractului individual de muncă pentru motive disciplinare.</w:t>
            </w:r>
          </w:p>
          <w:p w:rsidR="00E84210" w:rsidRPr="00894B14" w:rsidRDefault="00E84210" w:rsidP="004D3A1B">
            <w:pPr>
              <w:spacing w:before="120" w:after="120"/>
              <w:ind w:firstLine="34"/>
              <w:rPr>
                <w:b/>
                <w:i/>
                <w:color w:val="000000" w:themeColor="text1"/>
                <w:sz w:val="8"/>
                <w:szCs w:val="8"/>
                <w:u w:val="single"/>
                <w:lang w:val="ro-RO"/>
              </w:rPr>
            </w:pPr>
          </w:p>
          <w:p w:rsidR="004D3A1B" w:rsidRPr="001426CA" w:rsidRDefault="002C7DDD" w:rsidP="004D3A1B">
            <w:pPr>
              <w:spacing w:before="120" w:after="120"/>
              <w:ind w:firstLine="34"/>
              <w:rPr>
                <w:b/>
                <w:i/>
                <w:color w:val="000000" w:themeColor="text1"/>
                <w:u w:val="single"/>
                <w:lang w:val="ro-RO"/>
              </w:rPr>
            </w:pPr>
            <w:r w:rsidRPr="001426CA">
              <w:rPr>
                <w:b/>
                <w:i/>
                <w:color w:val="000000" w:themeColor="text1"/>
                <w:u w:val="single"/>
                <w:lang w:val="ro-RO"/>
              </w:rPr>
              <w:t>Cerințe specifice</w:t>
            </w:r>
            <w:r w:rsidR="004D3A1B" w:rsidRPr="001426CA">
              <w:rPr>
                <w:b/>
                <w:i/>
                <w:color w:val="000000" w:themeColor="text1"/>
                <w:u w:val="single"/>
                <w:lang w:val="ro-RO"/>
              </w:rPr>
              <w:t xml:space="preserve">: </w:t>
            </w:r>
          </w:p>
          <w:p w:rsidR="004D3A1B" w:rsidRPr="001426CA" w:rsidRDefault="004D3A1B" w:rsidP="004D3A1B">
            <w:pPr>
              <w:jc w:val="both"/>
              <w:rPr>
                <w:rFonts w:eastAsia="Calibri"/>
                <w:lang w:val="ro-RO"/>
              </w:rPr>
            </w:pPr>
            <w:r w:rsidRPr="001426CA">
              <w:rPr>
                <w:b/>
                <w:color w:val="000000" w:themeColor="text1"/>
                <w:lang w:val="ro-RO"/>
              </w:rPr>
              <w:t xml:space="preserve">Studii: </w:t>
            </w:r>
            <w:r w:rsidR="003C680F" w:rsidRPr="001426CA">
              <w:rPr>
                <w:rFonts w:eastAsia="Calibri"/>
                <w:lang w:val="ro-RO"/>
              </w:rPr>
              <w:t xml:space="preserve">Superioare, </w:t>
            </w:r>
            <w:r w:rsidR="00B5146A">
              <w:rPr>
                <w:rFonts w:eastAsia="Calibri"/>
                <w:lang w:val="ro-RO"/>
              </w:rPr>
              <w:t xml:space="preserve">cu diplomă </w:t>
            </w:r>
            <w:r w:rsidR="003C680F" w:rsidRPr="001426CA">
              <w:rPr>
                <w:rFonts w:eastAsia="Calibri"/>
                <w:lang w:val="ro-RO"/>
              </w:rPr>
              <w:t xml:space="preserve">de licență sau echivalente în domeniul </w:t>
            </w:r>
            <w:r w:rsidR="00E84210">
              <w:rPr>
                <w:rFonts w:eastAsia="Calibri"/>
                <w:lang w:val="ro-RO"/>
              </w:rPr>
              <w:t>statistic,</w:t>
            </w:r>
            <w:r w:rsidR="00827229" w:rsidRPr="001426CA">
              <w:rPr>
                <w:rFonts w:eastAsia="Calibri"/>
                <w:lang w:val="ro-RO"/>
              </w:rPr>
              <w:t xml:space="preserve"> </w:t>
            </w:r>
            <w:r w:rsidR="003C680F" w:rsidRPr="001426CA">
              <w:rPr>
                <w:rFonts w:eastAsia="Calibri"/>
                <w:lang w:val="ro-RO"/>
              </w:rPr>
              <w:t>economi</w:t>
            </w:r>
            <w:r w:rsidR="00827229">
              <w:rPr>
                <w:rFonts w:eastAsia="Calibri"/>
                <w:lang w:val="ro-RO"/>
              </w:rPr>
              <w:t>c</w:t>
            </w:r>
            <w:r w:rsidR="00E84210">
              <w:rPr>
                <w:rFonts w:eastAsia="Calibri"/>
                <w:lang w:val="ro-RO"/>
              </w:rPr>
              <w:t>,</w:t>
            </w:r>
            <w:r w:rsidR="00827229" w:rsidRPr="00E84210">
              <w:rPr>
                <w:rFonts w:eastAsia="Calibri"/>
                <w:color w:val="FF0000"/>
                <w:lang w:val="ro-RO"/>
              </w:rPr>
              <w:t xml:space="preserve"> </w:t>
            </w:r>
            <w:r w:rsidR="005B3F70" w:rsidRPr="005B3F70">
              <w:rPr>
                <w:rFonts w:eastAsia="Calibri"/>
                <w:lang w:val="ro-RO"/>
              </w:rPr>
              <w:t>econometrie</w:t>
            </w:r>
            <w:r w:rsidR="003C680F" w:rsidRPr="001426CA">
              <w:rPr>
                <w:rFonts w:eastAsia="Calibri"/>
                <w:lang w:val="ro-RO"/>
              </w:rPr>
              <w:t>.</w:t>
            </w:r>
          </w:p>
          <w:p w:rsidR="004D3A1B" w:rsidRPr="001426CA" w:rsidRDefault="004D3A1B" w:rsidP="004D3A1B">
            <w:pPr>
              <w:jc w:val="both"/>
              <w:rPr>
                <w:color w:val="000000" w:themeColor="text1"/>
                <w:lang w:val="ro-RO"/>
              </w:rPr>
            </w:pPr>
            <w:r w:rsidRPr="001426CA">
              <w:rPr>
                <w:b/>
                <w:color w:val="000000" w:themeColor="text1"/>
                <w:lang w:val="ro-RO"/>
              </w:rPr>
              <w:t xml:space="preserve">Experienţă profesională: </w:t>
            </w:r>
            <w:r w:rsidRPr="001426CA">
              <w:rPr>
                <w:color w:val="000000" w:themeColor="text1"/>
                <w:lang w:val="ro-RO"/>
              </w:rPr>
              <w:t>1</w:t>
            </w:r>
            <w:r w:rsidRPr="001426CA">
              <w:rPr>
                <w:b/>
                <w:color w:val="000000" w:themeColor="text1"/>
                <w:lang w:val="ro-RO"/>
              </w:rPr>
              <w:t xml:space="preserve"> </w:t>
            </w:r>
            <w:r w:rsidRPr="001426CA">
              <w:rPr>
                <w:color w:val="000000" w:themeColor="text1"/>
                <w:lang w:val="ro-RO"/>
              </w:rPr>
              <w:t>an de experienţă profesională în domeniu.</w:t>
            </w:r>
          </w:p>
          <w:p w:rsidR="004D3A1B" w:rsidRPr="001426CA" w:rsidRDefault="004D3A1B" w:rsidP="004D3A1B">
            <w:pPr>
              <w:jc w:val="both"/>
              <w:rPr>
                <w:b/>
                <w:color w:val="000000" w:themeColor="text1"/>
                <w:lang w:val="ro-RO"/>
              </w:rPr>
            </w:pPr>
            <w:r w:rsidRPr="001426CA">
              <w:rPr>
                <w:b/>
                <w:color w:val="000000" w:themeColor="text1"/>
                <w:lang w:val="ro-RO"/>
              </w:rPr>
              <w:t xml:space="preserve">Cunoştinţe: </w:t>
            </w:r>
          </w:p>
          <w:p w:rsidR="00827229" w:rsidRDefault="00E84210" w:rsidP="00827229">
            <w:pPr>
              <w:pStyle w:val="lf"/>
              <w:rPr>
                <w:lang w:val="ro-RO"/>
              </w:rPr>
            </w:pPr>
            <w:r w:rsidRPr="00E84210">
              <w:rPr>
                <w:rFonts w:ascii="Helvetica" w:hAnsi="Helvetica" w:cs="Helvetica"/>
                <w:color w:val="333333"/>
                <w:sz w:val="18"/>
                <w:szCs w:val="18"/>
                <w:lang w:val="en-US"/>
              </w:rPr>
              <w:t xml:space="preserve">- </w:t>
            </w:r>
            <w:r w:rsidRPr="00E84210">
              <w:rPr>
                <w:lang w:val="ro-RO"/>
              </w:rPr>
              <w:t xml:space="preserve"> </w:t>
            </w:r>
            <w:r w:rsidR="00621E2F" w:rsidRPr="00E84210">
              <w:rPr>
                <w:lang w:val="ro-RO"/>
              </w:rPr>
              <w:t>Cunoașterea</w:t>
            </w:r>
            <w:r w:rsidR="00621E2F" w:rsidRPr="001426CA">
              <w:rPr>
                <w:lang w:val="ro-RO"/>
              </w:rPr>
              <w:t xml:space="preserve"> legislației în domeniu</w:t>
            </w:r>
            <w:r>
              <w:rPr>
                <w:lang w:val="ro-RO"/>
              </w:rPr>
              <w:t xml:space="preserve"> statisticii, economiei</w:t>
            </w:r>
            <w:r w:rsidR="00894B14">
              <w:rPr>
                <w:lang w:val="ro-RO"/>
              </w:rPr>
              <w:t>, ocupării</w:t>
            </w:r>
            <w:r w:rsidR="00621E2F" w:rsidRPr="001426CA">
              <w:rPr>
                <w:lang w:val="ro-RO"/>
              </w:rPr>
              <w:t>;</w:t>
            </w:r>
          </w:p>
          <w:p w:rsidR="00827229" w:rsidRPr="00827229" w:rsidRDefault="00827229" w:rsidP="00827229">
            <w:pPr>
              <w:pStyle w:val="lf"/>
              <w:rPr>
                <w:lang w:val="ro-RO"/>
              </w:rPr>
            </w:pPr>
            <w:r>
              <w:rPr>
                <w:rFonts w:ascii="Helvetica" w:hAnsi="Helvetica" w:cs="Helvetica"/>
                <w:color w:val="333333"/>
                <w:sz w:val="18"/>
                <w:szCs w:val="18"/>
                <w:lang w:val="en-US"/>
              </w:rPr>
              <w:t xml:space="preserve">- </w:t>
            </w:r>
            <w:r w:rsidR="00E84210">
              <w:rPr>
                <w:rFonts w:ascii="Helvetica" w:hAnsi="Helvetica" w:cs="Helvetica"/>
                <w:color w:val="333333"/>
                <w:sz w:val="18"/>
                <w:szCs w:val="18"/>
                <w:lang w:val="en-US"/>
              </w:rPr>
              <w:t xml:space="preserve"> </w:t>
            </w:r>
            <w:r w:rsidRPr="00E84210">
              <w:rPr>
                <w:lang w:val="ro-RO"/>
              </w:rPr>
              <w:t xml:space="preserve">Cunoaşterea domeniului tehnologiilor informaţionale: Word, Excel, </w:t>
            </w:r>
            <w:r w:rsidR="005B3F70">
              <w:rPr>
                <w:lang w:val="ro-RO"/>
              </w:rPr>
              <w:t>PowerPoint, preferabil Stata, SPSS</w:t>
            </w:r>
            <w:r w:rsidRPr="00E84210">
              <w:rPr>
                <w:lang w:val="ro-RO"/>
              </w:rPr>
              <w:t>;</w:t>
            </w: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782872" w:rsidRDefault="00621E2F" w:rsidP="004D3A1B">
            <w:pPr>
              <w:jc w:val="both"/>
              <w:rPr>
                <w:lang w:val="ro-RO"/>
              </w:rPr>
            </w:pPr>
            <w:r w:rsidRPr="003126F0">
              <w:rPr>
                <w:lang w:val="ro-RO"/>
              </w:rPr>
              <w:t>Lucru cu informația</w:t>
            </w:r>
            <w:r w:rsidR="00300B16">
              <w:rPr>
                <w:lang w:val="ro-RO"/>
              </w:rPr>
              <w:t xml:space="preserve"> statistică</w:t>
            </w:r>
            <w:r w:rsidR="005B3F70">
              <w:rPr>
                <w:lang w:val="ro-RO"/>
              </w:rPr>
              <w:t xml:space="preserve"> și bazele de date</w:t>
            </w:r>
            <w:r w:rsidRPr="003126F0">
              <w:rPr>
                <w:lang w:val="ro-RO"/>
              </w:rPr>
              <w:t xml:space="preserve">, analiză și sinteză, monitorizare, </w:t>
            </w:r>
            <w:r w:rsidR="00E84210">
              <w:rPr>
                <w:lang w:val="ro-RO"/>
              </w:rPr>
              <w:t>elaborare</w:t>
            </w:r>
            <w:r w:rsidRPr="003126F0">
              <w:rPr>
                <w:lang w:val="ro-RO"/>
              </w:rPr>
              <w:t>a documentelor</w:t>
            </w:r>
            <w:r w:rsidR="00E84210">
              <w:rPr>
                <w:lang w:val="ro-RO"/>
              </w:rPr>
              <w:t xml:space="preserve"> de argumentare</w:t>
            </w:r>
            <w:r w:rsidRPr="003126F0">
              <w:rPr>
                <w:lang w:val="ro-RO"/>
              </w:rPr>
              <w:t xml:space="preserve">, </w:t>
            </w:r>
            <w:r w:rsidR="00894B14" w:rsidRPr="003126F0">
              <w:rPr>
                <w:lang w:val="ro-RO"/>
              </w:rPr>
              <w:t>comunicare eficientă</w:t>
            </w:r>
            <w:r w:rsidR="00894B14">
              <w:rPr>
                <w:lang w:val="ro-RO"/>
              </w:rPr>
              <w:t>,</w:t>
            </w:r>
            <w:r w:rsidR="00894B14" w:rsidRPr="003126F0">
              <w:rPr>
                <w:lang w:val="ro-RO"/>
              </w:rPr>
              <w:t xml:space="preserve"> </w:t>
            </w:r>
            <w:r w:rsidRPr="003126F0">
              <w:rPr>
                <w:lang w:val="ro-RO"/>
              </w:rPr>
              <w:t>lucru în echipă</w:t>
            </w:r>
            <w:r w:rsidR="00E84210">
              <w:rPr>
                <w:lang w:val="ro-RO"/>
              </w:rPr>
              <w:t>,</w:t>
            </w:r>
            <w:r w:rsidR="00E84210" w:rsidRPr="00E84210">
              <w:rPr>
                <w:lang w:val="ro-RO"/>
              </w:rPr>
              <w:t xml:space="preserve"> autoperfecţionare şi valorificare a experienţei dobândite</w:t>
            </w:r>
            <w:r w:rsidR="00E84210">
              <w:rPr>
                <w:lang w:val="ro-RO"/>
              </w:rPr>
              <w:t>.</w:t>
            </w: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3621E2" w:rsidRDefault="00621E2F" w:rsidP="00621E2F">
            <w:pPr>
              <w:jc w:val="both"/>
              <w:rPr>
                <w:rFonts w:eastAsia="Calibri"/>
                <w:lang w:val="ro-RO"/>
              </w:rPr>
            </w:pPr>
            <w:r w:rsidRPr="003126F0">
              <w:rPr>
                <w:rFonts w:eastAsia="Calibri"/>
                <w:lang w:val="ro-RO"/>
              </w:rPr>
              <w:t xml:space="preserve">Responsabilitate, </w:t>
            </w:r>
            <w:r w:rsidR="00827229" w:rsidRPr="00E84210">
              <w:rPr>
                <w:rFonts w:eastAsia="Calibri"/>
                <w:lang w:val="ro-RO"/>
              </w:rPr>
              <w:t>disciplină,</w:t>
            </w:r>
            <w:r w:rsidR="00827229" w:rsidRPr="003126F0">
              <w:rPr>
                <w:rFonts w:eastAsia="Calibri"/>
                <w:lang w:val="ro-RO"/>
              </w:rPr>
              <w:t xml:space="preserve"> </w:t>
            </w:r>
            <w:r w:rsidR="00827229" w:rsidRPr="00E84210">
              <w:rPr>
                <w:rFonts w:eastAsia="Calibri"/>
                <w:lang w:val="ro-RO"/>
              </w:rPr>
              <w:t>tendinţă spre dezvoltare profesională continuă, creativitate şi spirit de iniţiativă</w:t>
            </w:r>
            <w:r w:rsidRPr="003126F0">
              <w:rPr>
                <w:rFonts w:eastAsia="Calibri"/>
                <w:lang w:val="ro-RO"/>
              </w:rPr>
              <w:t xml:space="preserve">, </w:t>
            </w:r>
            <w:r w:rsidR="00827229" w:rsidRPr="00E84210">
              <w:rPr>
                <w:rFonts w:eastAsia="Calibri"/>
                <w:lang w:val="ro-RO"/>
              </w:rPr>
              <w:t>flexibilitate</w:t>
            </w:r>
            <w:r w:rsidR="00E84210" w:rsidRPr="00E84210">
              <w:rPr>
                <w:rFonts w:eastAsia="Calibri"/>
                <w:lang w:val="ro-RO"/>
              </w:rPr>
              <w:t>.</w:t>
            </w:r>
            <w:r w:rsidR="00827229" w:rsidRPr="003126F0">
              <w:rPr>
                <w:rFonts w:eastAsia="Calibri"/>
                <w:lang w:val="ro-RO"/>
              </w:rPr>
              <w:t xml:space="preserve"> </w:t>
            </w:r>
          </w:p>
          <w:p w:rsidR="00894B14" w:rsidRPr="00E84210" w:rsidRDefault="00894B14" w:rsidP="00621E2F">
            <w:pPr>
              <w:jc w:val="both"/>
              <w:rPr>
                <w:rFonts w:eastAsia="Calibri"/>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1E2E37">
            <w:pPr>
              <w:pStyle w:val="NormalWeb"/>
              <w:jc w:val="left"/>
              <w:rPr>
                <w:color w:val="000000" w:themeColor="text1"/>
                <w:lang w:val="ro-RO"/>
              </w:rPr>
            </w:pPr>
          </w:p>
          <w:p w:rsidR="003B2B78" w:rsidRPr="00300051" w:rsidRDefault="003B2B78" w:rsidP="001E2E37">
            <w:pPr>
              <w:rPr>
                <w:b/>
                <w:color w:val="000000" w:themeColor="text1"/>
                <w:lang w:val="ro-RO"/>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9E366D">
              <w:rPr>
                <w:b/>
                <w:color w:val="000000" w:themeColor="text1"/>
                <w:u w:val="single"/>
                <w:lang w:val="ro-RO"/>
              </w:rPr>
              <w:t>10 august</w:t>
            </w:r>
            <w:bookmarkStart w:id="0" w:name="_GoBack"/>
            <w:bookmarkEnd w:id="0"/>
            <w:r w:rsidR="002E1969">
              <w:rPr>
                <w:b/>
                <w:color w:val="000000" w:themeColor="text1"/>
                <w:u w:val="single"/>
                <w:lang w:val="ro-RO"/>
              </w:rPr>
              <w:t xml:space="preserve"> 2020</w:t>
            </w:r>
            <w:r w:rsidRPr="002C7DDD">
              <w:rPr>
                <w:b/>
                <w:color w:val="000000" w:themeColor="text1"/>
                <w:lang w:val="ro-RO"/>
              </w:rPr>
              <w:t>,</w:t>
            </w:r>
            <w:r w:rsidR="00300051">
              <w:rPr>
                <w:b/>
                <w:color w:val="000000" w:themeColor="text1"/>
                <w:lang w:val="ro-RO"/>
              </w:rPr>
              <w:t xml:space="preserve"> </w:t>
            </w:r>
            <w:r w:rsidRPr="002C7DDD">
              <w:rPr>
                <w:color w:val="000000" w:themeColor="text1"/>
                <w:lang w:val="ro-RO"/>
              </w:rPr>
              <w:t>la adresa:</w:t>
            </w:r>
            <w:r w:rsidR="001E2E37">
              <w:rPr>
                <w:color w:val="000000" w:themeColor="text1"/>
                <w:lang w:val="ro-RO"/>
              </w:rPr>
              <w:t xml:space="preserve"> </w:t>
            </w:r>
            <w:r w:rsidRPr="002C7DDD">
              <w:rPr>
                <w:b/>
                <w:color w:val="000000" w:themeColor="text1"/>
                <w:lang w:val="ro-RO"/>
              </w:rPr>
              <w:t xml:space="preserve"> </w:t>
            </w:r>
            <w:r w:rsidRPr="002C7DDD">
              <w:rPr>
                <w:color w:val="000000" w:themeColor="text1"/>
                <w:lang w:val="ro-RO"/>
              </w:rPr>
              <w:t>MD</w:t>
            </w:r>
            <w:r w:rsidR="001E2E37">
              <w:rPr>
                <w:color w:val="000000" w:themeColor="text1"/>
                <w:lang w:val="ro-RO"/>
              </w:rPr>
              <w:t xml:space="preserve"> </w:t>
            </w:r>
            <w:r w:rsidRPr="002C7DDD">
              <w:rPr>
                <w:color w:val="000000" w:themeColor="text1"/>
                <w:lang w:val="ro-RO"/>
              </w:rPr>
              <w:t>-</w:t>
            </w:r>
            <w:r w:rsidR="001E2E37">
              <w:rPr>
                <w:color w:val="000000" w:themeColor="text1"/>
                <w:lang w:val="ro-RO"/>
              </w:rPr>
              <w:t xml:space="preserve"> </w:t>
            </w:r>
            <w:r w:rsidRPr="002C7DDD">
              <w:rPr>
                <w:color w:val="000000" w:themeColor="text1"/>
                <w:lang w:val="ro-RO"/>
              </w:rPr>
              <w:t>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1E2E37" w:rsidRPr="00894641" w:rsidRDefault="001E2E37" w:rsidP="001E2E37">
            <w:pPr>
              <w:rPr>
                <w:iCs/>
                <w:color w:val="000000" w:themeColor="text1"/>
              </w:rPr>
            </w:pPr>
          </w:p>
          <w:p w:rsidR="003B2B78" w:rsidRPr="002C7DDD" w:rsidRDefault="003B2B78" w:rsidP="001E2E37">
            <w:pPr>
              <w:ind w:firstLine="34"/>
              <w:rPr>
                <w:iCs/>
                <w:color w:val="000000" w:themeColor="text1"/>
                <w:lang w:val="ro-RO"/>
              </w:rPr>
            </w:pPr>
            <w:r w:rsidRPr="002C7DDD">
              <w:rPr>
                <w:iCs/>
                <w:color w:val="000000" w:themeColor="text1"/>
                <w:lang w:val="ro-RO"/>
              </w:rPr>
              <w:t xml:space="preserve">Persoana  de contact în Agenţia Naţională </w:t>
            </w:r>
            <w:r w:rsidR="001426CA">
              <w:rPr>
                <w:iCs/>
                <w:color w:val="000000" w:themeColor="text1"/>
                <w:lang w:val="ro-RO"/>
              </w:rPr>
              <w:t xml:space="preserve">pentru Ocuparea Forței de Muncă - </w:t>
            </w:r>
            <w:r w:rsidRPr="002C7DDD">
              <w:rPr>
                <w:iCs/>
                <w:color w:val="000000" w:themeColor="text1"/>
                <w:lang w:val="ro-RO"/>
              </w:rPr>
              <w:t xml:space="preserve"> </w:t>
            </w:r>
            <w:r w:rsidR="00930BE5">
              <w:rPr>
                <w:iCs/>
                <w:color w:val="000000" w:themeColor="text1"/>
                <w:lang w:val="ro-RO"/>
              </w:rPr>
              <w:t>Noroc Doina</w:t>
            </w:r>
            <w:r w:rsidRPr="002C7DDD">
              <w:rPr>
                <w:iCs/>
                <w:color w:val="000000" w:themeColor="text1"/>
                <w:lang w:val="ro-RO"/>
              </w:rPr>
              <w:t xml:space="preserve">, tel. </w:t>
            </w:r>
            <w:r w:rsidR="001426CA">
              <w:rPr>
                <w:iCs/>
                <w:color w:val="000000" w:themeColor="text1"/>
                <w:lang w:val="ro-RO"/>
              </w:rPr>
              <w:t xml:space="preserve">022 </w:t>
            </w:r>
            <w:r w:rsidRPr="002C7DDD">
              <w:rPr>
                <w:iCs/>
                <w:color w:val="000000" w:themeColor="text1"/>
                <w:lang w:val="ro-RO"/>
              </w:rPr>
              <w:t>28</w:t>
            </w:r>
            <w:r w:rsidR="001426CA">
              <w:rPr>
                <w:iCs/>
                <w:color w:val="000000" w:themeColor="text1"/>
                <w:lang w:val="ro-RO"/>
              </w:rPr>
              <w:t xml:space="preserve"> </w:t>
            </w:r>
            <w:r w:rsidRPr="002C7DDD">
              <w:rPr>
                <w:iCs/>
                <w:color w:val="000000" w:themeColor="text1"/>
                <w:lang w:val="ro-RO"/>
              </w:rPr>
              <w:t>67</w:t>
            </w:r>
            <w:r w:rsidR="001426CA">
              <w:rPr>
                <w:iCs/>
                <w:color w:val="000000" w:themeColor="text1"/>
                <w:lang w:val="ro-RO"/>
              </w:rPr>
              <w:t xml:space="preserve"> </w:t>
            </w:r>
            <w:r w:rsidRPr="002C7DDD">
              <w:rPr>
                <w:iCs/>
                <w:color w:val="000000" w:themeColor="text1"/>
                <w:lang w:val="ro-RO"/>
              </w:rPr>
              <w:t>65.</w:t>
            </w:r>
          </w:p>
          <w:p w:rsidR="002C7DDD" w:rsidRPr="002C7DDD" w:rsidRDefault="002C7DDD" w:rsidP="001E2E37">
            <w:pPr>
              <w:pStyle w:val="NormalWeb"/>
              <w:ind w:firstLine="0"/>
              <w:jc w:val="left"/>
              <w:rPr>
                <w:b/>
                <w:color w:val="000000" w:themeColor="text1"/>
                <w:lang w:val="ro-RO"/>
              </w:rPr>
            </w:pPr>
          </w:p>
          <w:p w:rsidR="002C7DDD" w:rsidRPr="00632507" w:rsidRDefault="002C7DDD" w:rsidP="001E2E37">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07593A" w:rsidRDefault="006177FF" w:rsidP="0007593A">
            <w:pPr>
              <w:numPr>
                <w:ilvl w:val="0"/>
                <w:numId w:val="22"/>
              </w:numPr>
              <w:spacing w:before="100" w:beforeAutospacing="1" w:after="100" w:afterAutospacing="1"/>
              <w:rPr>
                <w:lang w:val="ro-RO"/>
              </w:rPr>
            </w:pPr>
            <w:r w:rsidRPr="003B1681">
              <w:rPr>
                <w:lang w:val="ro-RO"/>
              </w:rPr>
              <w:t>Constituţia Republicii Moldova;</w:t>
            </w:r>
          </w:p>
          <w:p w:rsidR="006177FF" w:rsidRDefault="006177FF" w:rsidP="006177FF">
            <w:pPr>
              <w:numPr>
                <w:ilvl w:val="0"/>
                <w:numId w:val="22"/>
              </w:numPr>
              <w:spacing w:before="100" w:beforeAutospacing="1" w:after="100" w:afterAutospacing="1"/>
              <w:rPr>
                <w:lang w:val="ro-RO"/>
              </w:rPr>
            </w:pPr>
            <w:r w:rsidRPr="003B1681">
              <w:rPr>
                <w:lang w:val="ro-RO"/>
              </w:rPr>
              <w:t xml:space="preserve">Legea </w:t>
            </w:r>
            <w:r w:rsidR="001E2E37" w:rsidRPr="003B1681">
              <w:rPr>
                <w:lang w:val="ro-RO"/>
              </w:rPr>
              <w:t>nr.</w:t>
            </w:r>
            <w:r w:rsidR="001E2E37">
              <w:rPr>
                <w:lang w:val="ro-RO"/>
              </w:rPr>
              <w:t>1</w:t>
            </w:r>
            <w:r w:rsidR="001E2E37" w:rsidRPr="003B1681">
              <w:rPr>
                <w:lang w:val="ro-RO"/>
              </w:rPr>
              <w:t>05 din 14.06.2018</w:t>
            </w:r>
            <w:r w:rsidRPr="003B1681">
              <w:rPr>
                <w:lang w:val="ro-RO"/>
              </w:rPr>
              <w:t xml:space="preserve"> cu privire la promovarea ocupării forţei </w:t>
            </w:r>
            <w:r w:rsidR="001E2E37">
              <w:rPr>
                <w:lang w:val="ro-RO"/>
              </w:rPr>
              <w:t>de muncă şi asigurării de şomaj;</w:t>
            </w:r>
          </w:p>
          <w:p w:rsidR="005B3F70" w:rsidRPr="003B1681" w:rsidRDefault="001E2E37" w:rsidP="006177FF">
            <w:pPr>
              <w:numPr>
                <w:ilvl w:val="0"/>
                <w:numId w:val="22"/>
              </w:numPr>
              <w:spacing w:before="100" w:beforeAutospacing="1" w:after="100" w:afterAutospacing="1"/>
              <w:rPr>
                <w:lang w:val="ro-RO"/>
              </w:rPr>
            </w:pPr>
            <w:r w:rsidRPr="003B1681">
              <w:rPr>
                <w:lang w:val="ro-RO"/>
              </w:rPr>
              <w:t xml:space="preserve">Hotărârea Guvernului </w:t>
            </w:r>
            <w:r>
              <w:rPr>
                <w:lang w:val="ro-RO"/>
              </w:rPr>
              <w:t xml:space="preserve">nr. </w:t>
            </w:r>
            <w:r w:rsidR="005B3F70">
              <w:rPr>
                <w:lang w:val="ro-RO"/>
              </w:rPr>
              <w:t>1276</w:t>
            </w:r>
            <w:r>
              <w:rPr>
                <w:lang w:val="ro-RO"/>
              </w:rPr>
              <w:t xml:space="preserve"> din 26.12.2018 pentru aprobarea procedurilor privind accesul la măsurile de ocupare a forței de muncă;</w:t>
            </w:r>
          </w:p>
          <w:p w:rsidR="006177FF" w:rsidRPr="003B1681" w:rsidRDefault="006177FF" w:rsidP="006177FF">
            <w:pPr>
              <w:numPr>
                <w:ilvl w:val="0"/>
                <w:numId w:val="22"/>
              </w:numPr>
              <w:spacing w:before="100" w:beforeAutospacing="1" w:after="100" w:afterAutospacing="1"/>
              <w:rPr>
                <w:lang w:val="ro-RO"/>
              </w:rPr>
            </w:pPr>
            <w:r w:rsidRPr="003B1681">
              <w:rPr>
                <w:lang w:val="ro-RO"/>
              </w:rPr>
              <w:t>Hotărîrea Guvernului nr.990 din 10.10.2018 “ Regulamentul cu privire la organizarea și funcționarea Agenției Naționale pentru Ocuparea Forței de Muncă;</w:t>
            </w:r>
          </w:p>
          <w:p w:rsidR="006177FF" w:rsidRPr="003B1681" w:rsidRDefault="006177FF" w:rsidP="006177FF">
            <w:pPr>
              <w:numPr>
                <w:ilvl w:val="0"/>
                <w:numId w:val="22"/>
              </w:numPr>
              <w:spacing w:before="100" w:beforeAutospacing="1" w:after="100" w:afterAutospacing="1"/>
              <w:rPr>
                <w:lang w:val="ro-RO"/>
              </w:rPr>
            </w:pPr>
            <w:r w:rsidRPr="003B1681">
              <w:rPr>
                <w:lang w:val="ro-RO"/>
              </w:rPr>
              <w:t>Legea nr.158-XVI din 04. 07.2008 cu privire la funcţia publică şi statutul funcţionarului public;</w:t>
            </w:r>
          </w:p>
          <w:p w:rsidR="006177FF" w:rsidRPr="003B1681" w:rsidRDefault="006177FF" w:rsidP="001E2E37">
            <w:pPr>
              <w:pStyle w:val="ListParagraph"/>
              <w:numPr>
                <w:ilvl w:val="0"/>
                <w:numId w:val="22"/>
              </w:numPr>
              <w:rPr>
                <w:lang w:val="ro-RO"/>
              </w:rPr>
            </w:pPr>
            <w:r w:rsidRPr="003B1681">
              <w:rPr>
                <w:lang w:val="ro-RO"/>
              </w:rPr>
              <w:t>Legea nr.25-XVI din 22.02.2008 privind Codul de conduită a funcţionarului public;</w:t>
            </w:r>
          </w:p>
          <w:p w:rsidR="001E2E37" w:rsidRPr="001E2E37" w:rsidRDefault="0007593A" w:rsidP="001E2E37">
            <w:pPr>
              <w:numPr>
                <w:ilvl w:val="0"/>
                <w:numId w:val="22"/>
              </w:numPr>
              <w:spacing w:before="100" w:beforeAutospacing="1" w:after="100" w:afterAutospacing="1"/>
              <w:rPr>
                <w:lang w:val="ro-RO"/>
              </w:rPr>
            </w:pPr>
            <w:r w:rsidRPr="0007593A">
              <w:rPr>
                <w:lang w:val="ro-RO"/>
              </w:rPr>
              <w:t xml:space="preserve">Legea </w:t>
            </w:r>
            <w:r w:rsidR="001E2E37" w:rsidRPr="0007593A">
              <w:rPr>
                <w:lang w:val="ro-RO"/>
              </w:rPr>
              <w:t>nr. 93 din 26.05.2017</w:t>
            </w:r>
            <w:r w:rsidR="001E2E37">
              <w:rPr>
                <w:lang w:val="ro-RO"/>
              </w:rPr>
              <w:t xml:space="preserve"> cu</w:t>
            </w:r>
            <w:r w:rsidRPr="0007593A">
              <w:rPr>
                <w:lang w:val="ro-RO"/>
              </w:rPr>
              <w:t xml:space="preserve"> privire la statistica oficială;</w:t>
            </w:r>
            <w:r w:rsidR="001E2E37" w:rsidRPr="001E2E37">
              <w:rPr>
                <w:b/>
                <w:bCs/>
                <w:lang w:val="ro-RO"/>
              </w:rPr>
              <w:t xml:space="preserve"> </w:t>
            </w:r>
          </w:p>
          <w:p w:rsidR="001E2E37" w:rsidRPr="001E2E37" w:rsidRDefault="001E2E37" w:rsidP="001E2E37">
            <w:pPr>
              <w:numPr>
                <w:ilvl w:val="0"/>
                <w:numId w:val="22"/>
              </w:numPr>
              <w:spacing w:before="100" w:beforeAutospacing="1" w:after="100" w:afterAutospacing="1"/>
              <w:rPr>
                <w:lang w:val="ro-RO"/>
              </w:rPr>
            </w:pPr>
            <w:r w:rsidRPr="001E2E37">
              <w:rPr>
                <w:bCs/>
                <w:lang w:val="ro-RO"/>
              </w:rPr>
              <w:t>Legea</w:t>
            </w:r>
            <w:r w:rsidRPr="001E2E37">
              <w:rPr>
                <w:lang w:val="ro-RO"/>
              </w:rPr>
              <w:t> nr. 982 din 11.05.2000 privind accesul la informaţie</w:t>
            </w:r>
            <w:r>
              <w:rPr>
                <w:lang w:val="ro-RO"/>
              </w:rPr>
              <w:t>;</w:t>
            </w:r>
            <w:r w:rsidRPr="001E2E37">
              <w:rPr>
                <w:bCs/>
                <w:lang w:val="ro-RO"/>
              </w:rPr>
              <w:t xml:space="preserve"> </w:t>
            </w:r>
          </w:p>
          <w:p w:rsidR="001E2E37" w:rsidRDefault="001E2E37" w:rsidP="0007593A">
            <w:pPr>
              <w:numPr>
                <w:ilvl w:val="0"/>
                <w:numId w:val="22"/>
              </w:numPr>
              <w:spacing w:before="100" w:beforeAutospacing="1" w:after="100" w:afterAutospacing="1"/>
              <w:rPr>
                <w:lang w:val="ro-RO"/>
              </w:rPr>
            </w:pPr>
            <w:r w:rsidRPr="001E2E37">
              <w:rPr>
                <w:bCs/>
                <w:lang w:val="ro-RO"/>
              </w:rPr>
              <w:t>Legea</w:t>
            </w:r>
            <w:r w:rsidRPr="001E2E37">
              <w:rPr>
                <w:lang w:val="ro-RO"/>
              </w:rPr>
              <w:t> nr. 133 din 08.07.2011 privind protecţia datelor cu caracter personal</w:t>
            </w:r>
            <w:r>
              <w:rPr>
                <w:lang w:val="ro-RO"/>
              </w:rPr>
              <w:t>;</w:t>
            </w:r>
          </w:p>
          <w:p w:rsidR="0007593A" w:rsidRPr="0007593A" w:rsidRDefault="001E2E37" w:rsidP="0007593A">
            <w:pPr>
              <w:numPr>
                <w:ilvl w:val="0"/>
                <w:numId w:val="22"/>
              </w:numPr>
              <w:spacing w:before="100" w:beforeAutospacing="1" w:after="100" w:afterAutospacing="1"/>
              <w:rPr>
                <w:lang w:val="ro-RO"/>
              </w:rPr>
            </w:pPr>
            <w:r w:rsidRPr="003B1681">
              <w:rPr>
                <w:lang w:val="ro-RO"/>
              </w:rPr>
              <w:t xml:space="preserve"> Legea </w:t>
            </w:r>
            <w:r>
              <w:rPr>
                <w:lang w:val="ro-RO"/>
              </w:rPr>
              <w:t>n</w:t>
            </w:r>
            <w:r w:rsidRPr="003B1681">
              <w:rPr>
                <w:lang w:val="ro-RO"/>
              </w:rPr>
              <w:t>r. 142 din 19.07.2018 cu privire la schimbul de date şi interoperabiltate</w:t>
            </w:r>
            <w:r>
              <w:rPr>
                <w:lang w:val="ro-RO"/>
              </w:rPr>
              <w:t>.</w:t>
            </w:r>
          </w:p>
          <w:p w:rsidR="002A7B6B" w:rsidRPr="001E2E37" w:rsidRDefault="002A7B6B" w:rsidP="007500A2">
            <w:pPr>
              <w:pStyle w:val="tt"/>
              <w:ind w:left="720"/>
              <w:jc w:val="both"/>
              <w:rPr>
                <w:b w:val="0"/>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894B14">
      <w:pgSz w:w="12240" w:h="15840"/>
      <w:pgMar w:top="720"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290" w:rsidRDefault="006A2290">
      <w:r>
        <w:separator/>
      </w:r>
    </w:p>
  </w:endnote>
  <w:endnote w:type="continuationSeparator" w:id="0">
    <w:p w:rsidR="006A2290" w:rsidRDefault="006A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290" w:rsidRDefault="006A2290">
      <w:r>
        <w:separator/>
      </w:r>
    </w:p>
  </w:footnote>
  <w:footnote w:type="continuationSeparator" w:id="0">
    <w:p w:rsidR="006A2290" w:rsidRDefault="006A2290">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3064CE"/>
    <w:multiLevelType w:val="multilevel"/>
    <w:tmpl w:val="FA60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2F5EE3"/>
    <w:multiLevelType w:val="multilevel"/>
    <w:tmpl w:val="ED2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81748"/>
    <w:multiLevelType w:val="hybridMultilevel"/>
    <w:tmpl w:val="B63EF4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1"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6"/>
  </w:num>
  <w:num w:numId="5">
    <w:abstractNumId w:val="14"/>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
  </w:num>
  <w:num w:numId="15">
    <w:abstractNumId w:val="18"/>
  </w:num>
  <w:num w:numId="16">
    <w:abstractNumId w:val="9"/>
  </w:num>
  <w:num w:numId="17">
    <w:abstractNumId w:val="0"/>
  </w:num>
  <w:num w:numId="18">
    <w:abstractNumId w:val="3"/>
  </w:num>
  <w:num w:numId="19">
    <w:abstractNumId w:val="1"/>
  </w:num>
  <w:num w:numId="20">
    <w:abstractNumId w:val="15"/>
  </w:num>
  <w:num w:numId="21">
    <w:abstractNumId w:val="4"/>
  </w:num>
  <w:num w:numId="22">
    <w:abstractNumId w:val="10"/>
  </w:num>
  <w:num w:numId="23">
    <w:abstractNumId w:val="17"/>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214B"/>
    <w:rsid w:val="00013B65"/>
    <w:rsid w:val="00013D75"/>
    <w:rsid w:val="00016949"/>
    <w:rsid w:val="000176D5"/>
    <w:rsid w:val="0002291C"/>
    <w:rsid w:val="00033D19"/>
    <w:rsid w:val="00053135"/>
    <w:rsid w:val="00056894"/>
    <w:rsid w:val="0006260C"/>
    <w:rsid w:val="00066BC0"/>
    <w:rsid w:val="000725DF"/>
    <w:rsid w:val="0007593A"/>
    <w:rsid w:val="000824CF"/>
    <w:rsid w:val="0009380B"/>
    <w:rsid w:val="0009534F"/>
    <w:rsid w:val="00095C25"/>
    <w:rsid w:val="000A154D"/>
    <w:rsid w:val="000B081C"/>
    <w:rsid w:val="000B2AE8"/>
    <w:rsid w:val="000B5A94"/>
    <w:rsid w:val="000D05A2"/>
    <w:rsid w:val="000D05FA"/>
    <w:rsid w:val="000D0F30"/>
    <w:rsid w:val="000D23BE"/>
    <w:rsid w:val="000D545C"/>
    <w:rsid w:val="000D5E2A"/>
    <w:rsid w:val="000E6160"/>
    <w:rsid w:val="000F41E8"/>
    <w:rsid w:val="00103DE6"/>
    <w:rsid w:val="00105BA1"/>
    <w:rsid w:val="00111F2C"/>
    <w:rsid w:val="001120F9"/>
    <w:rsid w:val="0011310D"/>
    <w:rsid w:val="0012184B"/>
    <w:rsid w:val="001307F6"/>
    <w:rsid w:val="001317C5"/>
    <w:rsid w:val="0013404A"/>
    <w:rsid w:val="00136392"/>
    <w:rsid w:val="00140467"/>
    <w:rsid w:val="001426CA"/>
    <w:rsid w:val="00146025"/>
    <w:rsid w:val="001623A8"/>
    <w:rsid w:val="00167B4E"/>
    <w:rsid w:val="001873A9"/>
    <w:rsid w:val="00195214"/>
    <w:rsid w:val="00196841"/>
    <w:rsid w:val="001A638C"/>
    <w:rsid w:val="001B234E"/>
    <w:rsid w:val="001D1C41"/>
    <w:rsid w:val="001D56C1"/>
    <w:rsid w:val="001D7D0D"/>
    <w:rsid w:val="001E0805"/>
    <w:rsid w:val="001E2E37"/>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8643F"/>
    <w:rsid w:val="00294ADC"/>
    <w:rsid w:val="00297124"/>
    <w:rsid w:val="00297994"/>
    <w:rsid w:val="002A0D06"/>
    <w:rsid w:val="002A3123"/>
    <w:rsid w:val="002A7B6B"/>
    <w:rsid w:val="002C1E9E"/>
    <w:rsid w:val="002C7DDD"/>
    <w:rsid w:val="002D353A"/>
    <w:rsid w:val="002E1969"/>
    <w:rsid w:val="002E2832"/>
    <w:rsid w:val="002E45DD"/>
    <w:rsid w:val="002F1E16"/>
    <w:rsid w:val="002F5734"/>
    <w:rsid w:val="00300051"/>
    <w:rsid w:val="00300B16"/>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1E2"/>
    <w:rsid w:val="003625C0"/>
    <w:rsid w:val="0037111D"/>
    <w:rsid w:val="003716BD"/>
    <w:rsid w:val="003731F4"/>
    <w:rsid w:val="00375EB9"/>
    <w:rsid w:val="00390118"/>
    <w:rsid w:val="00390448"/>
    <w:rsid w:val="00394524"/>
    <w:rsid w:val="003958ED"/>
    <w:rsid w:val="003A78BC"/>
    <w:rsid w:val="003B29C2"/>
    <w:rsid w:val="003B2B78"/>
    <w:rsid w:val="003B3A16"/>
    <w:rsid w:val="003B6B9C"/>
    <w:rsid w:val="003C1028"/>
    <w:rsid w:val="003C680F"/>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2CE"/>
    <w:rsid w:val="005877BF"/>
    <w:rsid w:val="005911BF"/>
    <w:rsid w:val="005A747D"/>
    <w:rsid w:val="005B3F70"/>
    <w:rsid w:val="005C4AA5"/>
    <w:rsid w:val="005C6E8D"/>
    <w:rsid w:val="005D272B"/>
    <w:rsid w:val="005D551F"/>
    <w:rsid w:val="005F35E5"/>
    <w:rsid w:val="005F6F7C"/>
    <w:rsid w:val="006004FD"/>
    <w:rsid w:val="00605340"/>
    <w:rsid w:val="006053EC"/>
    <w:rsid w:val="00605989"/>
    <w:rsid w:val="006127C8"/>
    <w:rsid w:val="006177FF"/>
    <w:rsid w:val="00621E2F"/>
    <w:rsid w:val="006245BA"/>
    <w:rsid w:val="00632507"/>
    <w:rsid w:val="00636AF1"/>
    <w:rsid w:val="00643AE5"/>
    <w:rsid w:val="00647B24"/>
    <w:rsid w:val="006548BE"/>
    <w:rsid w:val="00661755"/>
    <w:rsid w:val="00665B55"/>
    <w:rsid w:val="006663A5"/>
    <w:rsid w:val="00666FED"/>
    <w:rsid w:val="0068388F"/>
    <w:rsid w:val="006A06AE"/>
    <w:rsid w:val="006A2290"/>
    <w:rsid w:val="006A6C43"/>
    <w:rsid w:val="006B11D1"/>
    <w:rsid w:val="006B721E"/>
    <w:rsid w:val="006C395D"/>
    <w:rsid w:val="006D247B"/>
    <w:rsid w:val="006D7665"/>
    <w:rsid w:val="006E7CCF"/>
    <w:rsid w:val="00702028"/>
    <w:rsid w:val="00721085"/>
    <w:rsid w:val="00723E73"/>
    <w:rsid w:val="00736139"/>
    <w:rsid w:val="00742A7E"/>
    <w:rsid w:val="007500A2"/>
    <w:rsid w:val="00755BBE"/>
    <w:rsid w:val="00755C83"/>
    <w:rsid w:val="00755CDE"/>
    <w:rsid w:val="00756249"/>
    <w:rsid w:val="007566A4"/>
    <w:rsid w:val="00756ACB"/>
    <w:rsid w:val="00756EFC"/>
    <w:rsid w:val="00757E5C"/>
    <w:rsid w:val="007625E3"/>
    <w:rsid w:val="007701C5"/>
    <w:rsid w:val="00775B0C"/>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27229"/>
    <w:rsid w:val="008315E0"/>
    <w:rsid w:val="008328F3"/>
    <w:rsid w:val="00836CDF"/>
    <w:rsid w:val="008545AC"/>
    <w:rsid w:val="00857202"/>
    <w:rsid w:val="00861544"/>
    <w:rsid w:val="00863EFE"/>
    <w:rsid w:val="00864178"/>
    <w:rsid w:val="0086515A"/>
    <w:rsid w:val="00866EAC"/>
    <w:rsid w:val="00867826"/>
    <w:rsid w:val="00870A3B"/>
    <w:rsid w:val="00876E56"/>
    <w:rsid w:val="00880DB3"/>
    <w:rsid w:val="00881ECB"/>
    <w:rsid w:val="0088407F"/>
    <w:rsid w:val="00885D3C"/>
    <w:rsid w:val="00886B87"/>
    <w:rsid w:val="00890ECD"/>
    <w:rsid w:val="00894641"/>
    <w:rsid w:val="00894B14"/>
    <w:rsid w:val="008A3015"/>
    <w:rsid w:val="008C28FC"/>
    <w:rsid w:val="008C7D5D"/>
    <w:rsid w:val="008C7EB7"/>
    <w:rsid w:val="008D4521"/>
    <w:rsid w:val="008E6748"/>
    <w:rsid w:val="008E6825"/>
    <w:rsid w:val="008F393A"/>
    <w:rsid w:val="008F54FA"/>
    <w:rsid w:val="008F6415"/>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73FB"/>
    <w:rsid w:val="009B1CF0"/>
    <w:rsid w:val="009B56D2"/>
    <w:rsid w:val="009B6EFE"/>
    <w:rsid w:val="009D41F6"/>
    <w:rsid w:val="009D4DFB"/>
    <w:rsid w:val="009D5F47"/>
    <w:rsid w:val="009E366D"/>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B0AF0"/>
    <w:rsid w:val="00AC372D"/>
    <w:rsid w:val="00AC6CD3"/>
    <w:rsid w:val="00AD32BF"/>
    <w:rsid w:val="00AD785A"/>
    <w:rsid w:val="00B11416"/>
    <w:rsid w:val="00B146F3"/>
    <w:rsid w:val="00B209AF"/>
    <w:rsid w:val="00B21275"/>
    <w:rsid w:val="00B36190"/>
    <w:rsid w:val="00B37DD2"/>
    <w:rsid w:val="00B42500"/>
    <w:rsid w:val="00B42B0D"/>
    <w:rsid w:val="00B4486C"/>
    <w:rsid w:val="00B44B35"/>
    <w:rsid w:val="00B5146A"/>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194"/>
    <w:rsid w:val="00BF2BCE"/>
    <w:rsid w:val="00C01381"/>
    <w:rsid w:val="00C117B2"/>
    <w:rsid w:val="00C208F2"/>
    <w:rsid w:val="00C24E8F"/>
    <w:rsid w:val="00C340EF"/>
    <w:rsid w:val="00C346AF"/>
    <w:rsid w:val="00C35A54"/>
    <w:rsid w:val="00C37067"/>
    <w:rsid w:val="00C41CE1"/>
    <w:rsid w:val="00C45705"/>
    <w:rsid w:val="00C55CAC"/>
    <w:rsid w:val="00C76CA2"/>
    <w:rsid w:val="00C8147E"/>
    <w:rsid w:val="00C81C4C"/>
    <w:rsid w:val="00C828A4"/>
    <w:rsid w:val="00C902C8"/>
    <w:rsid w:val="00CA1210"/>
    <w:rsid w:val="00CA1482"/>
    <w:rsid w:val="00CA5167"/>
    <w:rsid w:val="00CA51B6"/>
    <w:rsid w:val="00CB14C0"/>
    <w:rsid w:val="00CB3DAB"/>
    <w:rsid w:val="00CB799D"/>
    <w:rsid w:val="00CC20DF"/>
    <w:rsid w:val="00CC2BAA"/>
    <w:rsid w:val="00CE5414"/>
    <w:rsid w:val="00CE6B3C"/>
    <w:rsid w:val="00CF390A"/>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412AF"/>
    <w:rsid w:val="00E50272"/>
    <w:rsid w:val="00E739C2"/>
    <w:rsid w:val="00E74B19"/>
    <w:rsid w:val="00E77769"/>
    <w:rsid w:val="00E84210"/>
    <w:rsid w:val="00E902D7"/>
    <w:rsid w:val="00E95B41"/>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1D14"/>
    <w:rsid w:val="00F237D1"/>
    <w:rsid w:val="00F33BD8"/>
    <w:rsid w:val="00F361F9"/>
    <w:rsid w:val="00F37A5A"/>
    <w:rsid w:val="00F527CF"/>
    <w:rsid w:val="00F53F86"/>
    <w:rsid w:val="00F55070"/>
    <w:rsid w:val="00F60318"/>
    <w:rsid w:val="00F80DE7"/>
    <w:rsid w:val="00F84859"/>
    <w:rsid w:val="00F93C85"/>
    <w:rsid w:val="00F962B9"/>
    <w:rsid w:val="00FB1C6F"/>
    <w:rsid w:val="00FB7B5E"/>
    <w:rsid w:val="00FD1812"/>
    <w:rsid w:val="00FE5AC5"/>
    <w:rsid w:val="00FE5D2E"/>
    <w:rsid w:val="00FF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15CAC"/>
  <w15:docId w15:val="{A7B9E9AA-2DD2-46D4-B97B-4A4A4E3D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uiPriority w:val="99"/>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uiPriority w:val="1"/>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basedOn w:val="DefaultParagraphFont"/>
    <w:link w:val="NoSpacing"/>
    <w:uiPriority w:val="1"/>
    <w:rsid w:val="00AB0AF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410008286">
      <w:bodyDiv w:val="1"/>
      <w:marLeft w:val="0"/>
      <w:marRight w:val="0"/>
      <w:marTop w:val="0"/>
      <w:marBottom w:val="0"/>
      <w:divBdr>
        <w:top w:val="none" w:sz="0" w:space="0" w:color="auto"/>
        <w:left w:val="none" w:sz="0" w:space="0" w:color="auto"/>
        <w:bottom w:val="none" w:sz="0" w:space="0" w:color="auto"/>
        <w:right w:val="none" w:sz="0" w:space="0" w:color="auto"/>
      </w:divBdr>
    </w:div>
    <w:div w:id="410321032">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43562675">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32666489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767</Words>
  <Characters>4376</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5133</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7</cp:revision>
  <cp:lastPrinted>2020-07-21T06:42:00Z</cp:lastPrinted>
  <dcterms:created xsi:type="dcterms:W3CDTF">2020-03-18T08:03:00Z</dcterms:created>
  <dcterms:modified xsi:type="dcterms:W3CDTF">2020-07-21T06:43:00Z</dcterms:modified>
</cp:coreProperties>
</file>