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w:t>
            </w:r>
            <w:r w:rsidR="00F02B1E">
              <w:rPr>
                <w:b/>
                <w:color w:val="000000" w:themeColor="text1"/>
                <w:sz w:val="28"/>
                <w:szCs w:val="28"/>
                <w:lang w:val="ro-RO"/>
              </w:rPr>
              <w:t xml:space="preserve"> </w:t>
            </w:r>
            <w:bookmarkStart w:id="0" w:name="_GoBack"/>
            <w:bookmarkEnd w:id="0"/>
            <w:r w:rsidR="003C579A">
              <w:rPr>
                <w:b/>
                <w:color w:val="000000" w:themeColor="text1"/>
                <w:sz w:val="28"/>
                <w:szCs w:val="28"/>
                <w:lang w:val="ro-RO"/>
              </w:rPr>
              <w:t>vacantă</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C2628">
              <w:rPr>
                <w:b/>
                <w:color w:val="000000" w:themeColor="text1"/>
                <w:lang w:val="ro-RO"/>
              </w:rPr>
              <w:t>cția</w:t>
            </w:r>
            <w:r w:rsidR="00ED6045">
              <w:rPr>
                <w:b/>
                <w:color w:val="000000" w:themeColor="text1"/>
                <w:lang w:val="ro-RO"/>
              </w:rPr>
              <w:t xml:space="preserve"> generală</w:t>
            </w:r>
            <w:r w:rsidR="00DC2628">
              <w:rPr>
                <w:b/>
                <w:color w:val="000000" w:themeColor="text1"/>
                <w:lang w:val="ro-RO"/>
              </w:rPr>
              <w:t xml:space="preserve"> ocuparea forței de muncă, </w:t>
            </w:r>
            <w:r w:rsidR="00ED6045">
              <w:rPr>
                <w:b/>
                <w:color w:val="000000" w:themeColor="text1"/>
                <w:lang w:val="ro-RO"/>
              </w:rPr>
              <w:t>mun. Chișinău</w:t>
            </w:r>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r w:rsidR="004805E0">
              <w:rPr>
                <w:b/>
                <w:color w:val="000000" w:themeColor="text1"/>
                <w:lang w:val="ro-RO"/>
              </w:rPr>
              <w:t xml:space="preserve"> </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9C2A5A" w:rsidRDefault="00A44808" w:rsidP="004D3A1B">
            <w:pPr>
              <w:pStyle w:val="NoSpacing"/>
              <w:rPr>
                <w:rFonts w:eastAsia="Calibri"/>
                <w:color w:val="000000" w:themeColor="text1"/>
                <w:lang w:val="ro-MD"/>
              </w:rPr>
            </w:pPr>
            <w:r w:rsidRPr="00424889">
              <w:rPr>
                <w:lang w:val="ro-RO"/>
              </w:rPr>
              <w:t>Contribui</w:t>
            </w:r>
            <w:r>
              <w:rPr>
                <w:lang w:val="ro-RO"/>
              </w:rPr>
              <w:t>rea</w:t>
            </w:r>
            <w:r w:rsidRPr="00424889">
              <w:rPr>
                <w:lang w:val="ro-RO"/>
              </w:rPr>
              <w:t xml:space="preserve"> la implementarea politicilor și programelor  în domeniul ocupării </w:t>
            </w:r>
            <w:proofErr w:type="spellStart"/>
            <w:r w:rsidRPr="00424889">
              <w:rPr>
                <w:lang w:val="ro-RO"/>
              </w:rPr>
              <w:t>forţei</w:t>
            </w:r>
            <w:proofErr w:type="spellEnd"/>
            <w:r w:rsidRPr="00424889">
              <w:rPr>
                <w:lang w:val="ro-RO"/>
              </w:rPr>
              <w:t xml:space="preserve"> de muncă adresate  angajatorilor </w:t>
            </w:r>
            <w:proofErr w:type="spellStart"/>
            <w:r w:rsidRPr="00424889">
              <w:rPr>
                <w:lang w:val="ro-RO"/>
              </w:rPr>
              <w:t>şi</w:t>
            </w:r>
            <w:proofErr w:type="spellEnd"/>
            <w:r w:rsidRPr="00424889">
              <w:rPr>
                <w:lang w:val="ro-RO"/>
              </w:rPr>
              <w:t xml:space="preserve"> persoanelor aflate în căutarea unui loc de muncă</w:t>
            </w:r>
            <w:r>
              <w:rPr>
                <w:lang w:val="ro-RO"/>
              </w:rPr>
              <w:t xml:space="preserve">, </w:t>
            </w:r>
            <w:r w:rsidRPr="00424889">
              <w:rPr>
                <w:lang w:val="ro-RO"/>
              </w:rPr>
              <w:t xml:space="preserve"> </w:t>
            </w:r>
            <w:r>
              <w:rPr>
                <w:lang w:val="ro-RO"/>
              </w:rPr>
              <w:t>c</w:t>
            </w:r>
            <w:r w:rsidRPr="00424889">
              <w:rPr>
                <w:lang w:val="ro-RO"/>
              </w:rPr>
              <w:t>ontribui</w:t>
            </w:r>
            <w:r>
              <w:rPr>
                <w:lang w:val="ro-RO"/>
              </w:rPr>
              <w:t>rea</w:t>
            </w:r>
            <w:r w:rsidRPr="00424889">
              <w:rPr>
                <w:lang w:val="ro-RO"/>
              </w:rPr>
              <w:t xml:space="preserve"> la asigurarea cu </w:t>
            </w:r>
            <w:proofErr w:type="spellStart"/>
            <w:r w:rsidRPr="00424889">
              <w:rPr>
                <w:lang w:val="ro-RO"/>
              </w:rPr>
              <w:t>forţă</w:t>
            </w:r>
            <w:proofErr w:type="spellEnd"/>
            <w:r w:rsidRPr="00424889">
              <w:rPr>
                <w:lang w:val="ro-RO"/>
              </w:rPr>
              <w:t xml:space="preserve"> de muncă a angajatorilor din teritoriu </w:t>
            </w:r>
            <w:proofErr w:type="spellStart"/>
            <w:r w:rsidRPr="00424889">
              <w:rPr>
                <w:lang w:val="ro-RO"/>
              </w:rPr>
              <w:t>şi</w:t>
            </w:r>
            <w:proofErr w:type="spellEnd"/>
            <w:r w:rsidRPr="00424889">
              <w:rPr>
                <w:lang w:val="ro-RO"/>
              </w:rPr>
              <w:t xml:space="preserve"> plasarea în </w:t>
            </w:r>
            <w:proofErr w:type="spellStart"/>
            <w:r w:rsidRPr="00424889">
              <w:rPr>
                <w:lang w:val="ro-RO"/>
              </w:rPr>
              <w:t>cîmpul</w:t>
            </w:r>
            <w:proofErr w:type="spellEnd"/>
            <w:r w:rsidRPr="00424889">
              <w:rPr>
                <w:lang w:val="ro-RO"/>
              </w:rPr>
              <w:t xml:space="preserve"> muncii a </w:t>
            </w:r>
            <w:proofErr w:type="spellStart"/>
            <w:r w:rsidRPr="00424889">
              <w:rPr>
                <w:lang w:val="ro-RO"/>
              </w:rPr>
              <w:t>şomerilor</w:t>
            </w:r>
            <w:proofErr w:type="spellEnd"/>
            <w:r w:rsidRPr="00424889">
              <w:rPr>
                <w:lang w:val="ro-RO"/>
              </w:rPr>
              <w:t>.</w:t>
            </w:r>
            <w:r>
              <w:rPr>
                <w:rFonts w:eastAsia="Calibri"/>
                <w:color w:val="000000" w:themeColor="text1"/>
                <w:lang w:val="ro-MD"/>
              </w:rPr>
              <w:t xml:space="preserve"> </w:t>
            </w:r>
          </w:p>
          <w:p w:rsidR="00A44808" w:rsidRPr="002C7DDD" w:rsidRDefault="00A44808" w:rsidP="004D3A1B">
            <w:pPr>
              <w:pStyle w:val="NoSpacing"/>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A44808" w:rsidRPr="00A44808" w:rsidRDefault="00A44808" w:rsidP="00A44808">
            <w:pPr>
              <w:pStyle w:val="ListParagraph"/>
              <w:numPr>
                <w:ilvl w:val="0"/>
                <w:numId w:val="23"/>
              </w:numPr>
              <w:tabs>
                <w:tab w:val="left" w:pos="88"/>
                <w:tab w:val="left" w:pos="372"/>
              </w:tabs>
              <w:jc w:val="both"/>
              <w:rPr>
                <w:lang w:val="ro-MD"/>
              </w:rPr>
            </w:pPr>
            <w:r w:rsidRPr="00A44808">
              <w:rPr>
                <w:lang w:val="ro-MD"/>
              </w:rPr>
              <w:t>Informarea angajatorilor privind serviciile și măsurile de ocupare a forței de muncă, prevederile legislației în vigoare, etc;</w:t>
            </w:r>
          </w:p>
          <w:p w:rsidR="00A44808" w:rsidRPr="00A44808" w:rsidRDefault="00A44808" w:rsidP="00A44808">
            <w:pPr>
              <w:pStyle w:val="ListParagraph"/>
              <w:numPr>
                <w:ilvl w:val="0"/>
                <w:numId w:val="23"/>
              </w:numPr>
              <w:tabs>
                <w:tab w:val="left" w:pos="88"/>
                <w:tab w:val="left" w:pos="372"/>
              </w:tabs>
              <w:jc w:val="both"/>
              <w:rPr>
                <w:lang w:val="ro-MD"/>
              </w:rPr>
            </w:pPr>
            <w:r w:rsidRPr="00A44808">
              <w:rPr>
                <w:lang w:val="ro-MD"/>
              </w:rPr>
              <w:t xml:space="preserve">Identificarea, înregistrarea </w:t>
            </w:r>
            <w:proofErr w:type="spellStart"/>
            <w:r w:rsidRPr="00A44808">
              <w:rPr>
                <w:lang w:val="ro-MD"/>
              </w:rPr>
              <w:t>şi</w:t>
            </w:r>
            <w:proofErr w:type="spellEnd"/>
            <w:r w:rsidRPr="00A44808">
              <w:rPr>
                <w:lang w:val="ro-MD"/>
              </w:rPr>
              <w:t xml:space="preserve"> gestionarea locurilor de muncă vacante, inclusiv prin efectuarea vizitelor la sediile angajatorilor;</w:t>
            </w:r>
          </w:p>
          <w:p w:rsidR="00A44808" w:rsidRPr="00A44808" w:rsidRDefault="00A44808" w:rsidP="00A44808">
            <w:pPr>
              <w:pStyle w:val="ListParagraph"/>
              <w:numPr>
                <w:ilvl w:val="0"/>
                <w:numId w:val="23"/>
              </w:numPr>
              <w:tabs>
                <w:tab w:val="left" w:pos="88"/>
                <w:tab w:val="left" w:pos="372"/>
              </w:tabs>
              <w:jc w:val="both"/>
              <w:rPr>
                <w:lang w:val="ro-MD"/>
              </w:rPr>
            </w:pPr>
            <w:r w:rsidRPr="00A44808">
              <w:rPr>
                <w:lang w:val="ro-RO"/>
              </w:rPr>
              <w:t xml:space="preserve">Ținerea </w:t>
            </w:r>
            <w:proofErr w:type="spellStart"/>
            <w:r w:rsidRPr="00A44808">
              <w:rPr>
                <w:lang w:val="ro-RO"/>
              </w:rPr>
              <w:t>evidenţei</w:t>
            </w:r>
            <w:proofErr w:type="spellEnd"/>
            <w:r w:rsidRPr="00A44808">
              <w:rPr>
                <w:lang w:val="ro-RO"/>
              </w:rPr>
              <w:t xml:space="preserve"> angajatorilor, inclusiv ț</w:t>
            </w:r>
            <w:r w:rsidRPr="00A44808">
              <w:rPr>
                <w:bCs/>
                <w:lang w:val="ro-RO"/>
              </w:rPr>
              <w:t>inerea și gestionarea Registrului electronic al agenților economici;</w:t>
            </w:r>
          </w:p>
          <w:p w:rsidR="00A44808" w:rsidRPr="00A44808" w:rsidRDefault="00A44808" w:rsidP="00A44808">
            <w:pPr>
              <w:pStyle w:val="ListParagraph"/>
              <w:numPr>
                <w:ilvl w:val="0"/>
                <w:numId w:val="23"/>
              </w:numPr>
              <w:tabs>
                <w:tab w:val="left" w:pos="88"/>
                <w:tab w:val="left" w:pos="372"/>
              </w:tabs>
              <w:jc w:val="both"/>
              <w:rPr>
                <w:lang w:val="ro-MD"/>
              </w:rPr>
            </w:pPr>
            <w:r w:rsidRPr="00A44808">
              <w:rPr>
                <w:bCs/>
                <w:lang w:val="ro-MD"/>
              </w:rPr>
              <w:t>Monitorizarea completării locurilor vacante înregistrate, organizarea și realizarea activităților de ocupare a locurilor de muncă vacante (târguri ale locurilor de muncă);</w:t>
            </w:r>
          </w:p>
          <w:p w:rsidR="00A44808" w:rsidRPr="00A44808" w:rsidRDefault="00A44808" w:rsidP="00FD4C73">
            <w:pPr>
              <w:pStyle w:val="ListParagraph"/>
              <w:numPr>
                <w:ilvl w:val="0"/>
                <w:numId w:val="23"/>
              </w:numPr>
              <w:tabs>
                <w:tab w:val="left" w:pos="88"/>
                <w:tab w:val="left" w:pos="284"/>
                <w:tab w:val="left" w:pos="372"/>
              </w:tabs>
              <w:jc w:val="both"/>
              <w:rPr>
                <w:lang w:val="ro-MD"/>
              </w:rPr>
            </w:pPr>
            <w:r w:rsidRPr="00A44808">
              <w:rPr>
                <w:bCs/>
                <w:lang w:val="ro-MD"/>
              </w:rPr>
              <w:t>Organizarea  și desfășurarea  serviciilor de preconcediere;</w:t>
            </w:r>
          </w:p>
          <w:p w:rsidR="00A44808" w:rsidRPr="00A44808" w:rsidRDefault="00A44808" w:rsidP="00FD4C73">
            <w:pPr>
              <w:pStyle w:val="ListParagraph"/>
              <w:numPr>
                <w:ilvl w:val="0"/>
                <w:numId w:val="23"/>
              </w:numPr>
              <w:tabs>
                <w:tab w:val="left" w:pos="88"/>
                <w:tab w:val="left" w:pos="284"/>
                <w:tab w:val="left" w:pos="372"/>
              </w:tabs>
              <w:jc w:val="both"/>
              <w:rPr>
                <w:lang w:val="ro-MD"/>
              </w:rPr>
            </w:pPr>
            <w:r w:rsidRPr="00A44808">
              <w:rPr>
                <w:bCs/>
                <w:lang w:val="ro-MD"/>
              </w:rPr>
              <w:t xml:space="preserve">Organizarea și desfășurarea </w:t>
            </w:r>
            <w:r w:rsidRPr="00A44808">
              <w:rPr>
                <w:lang w:val="ro-MD"/>
              </w:rPr>
              <w:t xml:space="preserve">chestionării </w:t>
            </w:r>
            <w:proofErr w:type="spellStart"/>
            <w:r w:rsidRPr="00A44808">
              <w:rPr>
                <w:lang w:val="ro-MD"/>
              </w:rPr>
              <w:t>agenţilor</w:t>
            </w:r>
            <w:proofErr w:type="spellEnd"/>
            <w:r w:rsidRPr="00A44808">
              <w:rPr>
                <w:lang w:val="ro-MD"/>
              </w:rPr>
              <w:t xml:space="preserve"> economici pentru elaborarea prognozei </w:t>
            </w:r>
            <w:proofErr w:type="spellStart"/>
            <w:r w:rsidRPr="00A44808">
              <w:rPr>
                <w:lang w:val="ro-MD"/>
              </w:rPr>
              <w:t>pieţei</w:t>
            </w:r>
            <w:proofErr w:type="spellEnd"/>
            <w:r w:rsidRPr="00A44808">
              <w:rPr>
                <w:lang w:val="ro-MD"/>
              </w:rPr>
              <w:t xml:space="preserve"> muncii.</w:t>
            </w:r>
          </w:p>
          <w:p w:rsidR="00A44808" w:rsidRPr="00A44808" w:rsidRDefault="00A44808" w:rsidP="00A44808">
            <w:pPr>
              <w:pStyle w:val="ListParagraph"/>
              <w:numPr>
                <w:ilvl w:val="0"/>
                <w:numId w:val="23"/>
              </w:numPr>
              <w:tabs>
                <w:tab w:val="left" w:pos="88"/>
                <w:tab w:val="left" w:pos="372"/>
              </w:tabs>
              <w:jc w:val="both"/>
              <w:rPr>
                <w:lang w:val="ro-MD"/>
              </w:rPr>
            </w:pPr>
            <w:r w:rsidRPr="00A44808">
              <w:rPr>
                <w:lang w:val="ro-MD"/>
              </w:rPr>
              <w:t>Colaborarea cu autoritățile publice locale, alte instituții și actori pe piața muncii cu scopul monitorizării pieței muncii la nivel local.</w:t>
            </w: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w:t>
            </w:r>
            <w:proofErr w:type="spellStart"/>
            <w:r w:rsidRPr="002C7DDD">
              <w:rPr>
                <w:color w:val="000000" w:themeColor="text1"/>
                <w:lang w:val="ro-RO"/>
              </w:rPr>
              <w:t>vîrstei</w:t>
            </w:r>
            <w:proofErr w:type="spellEnd"/>
            <w:r w:rsidRPr="002C7DDD">
              <w:rPr>
                <w:color w:val="000000" w:themeColor="text1"/>
                <w:lang w:val="ro-RO"/>
              </w:rPr>
              <w:t xml:space="preserve"> necesare </w:t>
            </w:r>
            <w:proofErr w:type="spellStart"/>
            <w:r w:rsidRPr="002C7DDD">
              <w:rPr>
                <w:color w:val="000000" w:themeColor="text1"/>
                <w:lang w:val="ro-RO"/>
              </w:rPr>
              <w:t>obţinerii</w:t>
            </w:r>
            <w:proofErr w:type="spellEnd"/>
            <w:r w:rsidRPr="002C7DDD">
              <w:rPr>
                <w:color w:val="000000" w:themeColor="text1"/>
                <w:lang w:val="ro-RO"/>
              </w:rPr>
              <w:t xml:space="preserve"> dreptului la pensie pentru limită de </w:t>
            </w:r>
            <w:proofErr w:type="spellStart"/>
            <w:r w:rsidRPr="002C7DDD">
              <w:rPr>
                <w:color w:val="000000" w:themeColor="text1"/>
                <w:lang w:val="ro-RO"/>
              </w:rPr>
              <w:t>vîrstă</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9C2A5A" w:rsidRDefault="004D3A1B" w:rsidP="004D3A1B">
            <w:pPr>
              <w:jc w:val="both"/>
              <w:rPr>
                <w:rFonts w:eastAsia="Calibri"/>
                <w:lang w:val="ro-MD"/>
              </w:rPr>
            </w:pPr>
            <w:r w:rsidRPr="002C7DDD">
              <w:rPr>
                <w:b/>
                <w:color w:val="000000" w:themeColor="text1"/>
                <w:lang w:val="ro-RO"/>
              </w:rPr>
              <w:t>Studii:</w:t>
            </w:r>
            <w:r w:rsidR="002B7725" w:rsidRPr="00C221D6">
              <w:rPr>
                <w:rFonts w:eastAsia="Calibri"/>
                <w:lang w:val="ro-MD"/>
              </w:rPr>
              <w:t xml:space="preserve"> </w:t>
            </w:r>
            <w:r w:rsidR="009C2A5A" w:rsidRPr="00900EC4">
              <w:rPr>
                <w:rFonts w:eastAsia="Calibri"/>
                <w:lang w:val="ro-MD"/>
              </w:rPr>
              <w:t xml:space="preserve">Superioare, de licență </w:t>
            </w:r>
            <w:r w:rsidR="009C2A5A" w:rsidRPr="007449BA">
              <w:rPr>
                <w:lang w:val="ro-RO"/>
              </w:rPr>
              <w:t xml:space="preserve">în domeniul psihologiei, pedagogiei, economiei, </w:t>
            </w:r>
            <w:proofErr w:type="spellStart"/>
            <w:r w:rsidR="009C2A5A" w:rsidRPr="007449BA">
              <w:rPr>
                <w:lang w:val="ro-RO"/>
              </w:rPr>
              <w:t>asistenţei</w:t>
            </w:r>
            <w:proofErr w:type="spellEnd"/>
            <w:r w:rsidR="009C2A5A" w:rsidRPr="007449BA">
              <w:rPr>
                <w:lang w:val="ro-RO"/>
              </w:rPr>
              <w:t xml:space="preserve"> sociale,</w:t>
            </w:r>
            <w:r w:rsidR="009C2A5A">
              <w:rPr>
                <w:lang w:val="ro-RO"/>
              </w:rPr>
              <w:t xml:space="preserve"> administrației publice,</w:t>
            </w:r>
            <w:r w:rsidR="009C2A5A" w:rsidRPr="007449BA">
              <w:rPr>
                <w:lang w:val="ro-RO"/>
              </w:rPr>
              <w:t xml:space="preserve"> tehnologiilor </w:t>
            </w:r>
            <w:proofErr w:type="spellStart"/>
            <w:r w:rsidR="009C2A5A" w:rsidRPr="007449BA">
              <w:rPr>
                <w:lang w:val="ro-RO"/>
              </w:rPr>
              <w:t>informaţionale</w:t>
            </w:r>
            <w:proofErr w:type="spellEnd"/>
            <w:r w:rsidR="009C2A5A" w:rsidRPr="007449BA">
              <w:rPr>
                <w:rFonts w:eastAsia="Calibri"/>
                <w:lang w:val="ro-MD"/>
              </w:rPr>
              <w:t>.</w:t>
            </w:r>
          </w:p>
          <w:p w:rsidR="009C2A5A" w:rsidRDefault="009C2A5A" w:rsidP="004D3A1B">
            <w:pPr>
              <w:jc w:val="both"/>
              <w:rPr>
                <w:rFonts w:eastAsia="Calibri"/>
                <w:lang w:val="ro-MD"/>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9C178D" w:rsidRDefault="009C178D" w:rsidP="009C178D">
            <w:pPr>
              <w:pStyle w:val="lf"/>
              <w:jc w:val="both"/>
              <w:rPr>
                <w:lang w:val="ro-RO"/>
              </w:rPr>
            </w:pPr>
            <w:r>
              <w:rPr>
                <w:lang w:val="ro-MD"/>
              </w:rPr>
              <w:t>-</w:t>
            </w:r>
            <w:r>
              <w:rPr>
                <w:lang w:val="ro-RO"/>
              </w:rPr>
              <w:t>Cunoștințe a L</w:t>
            </w:r>
            <w:r w:rsidRPr="009329E1">
              <w:rPr>
                <w:lang w:val="ro-RO"/>
              </w:rPr>
              <w:t>eg</w:t>
            </w:r>
            <w:r>
              <w:rPr>
                <w:lang w:val="ro-RO"/>
              </w:rPr>
              <w:t>ii nr.105 din 14.06.2018 cu privire la promovarea  ocupării forței de muncă și asigurarea de șomaj și aplicarea ei în practică;</w:t>
            </w:r>
          </w:p>
          <w:p w:rsidR="009C178D" w:rsidRDefault="009C178D" w:rsidP="009C178D">
            <w:pPr>
              <w:pStyle w:val="NoSpacing"/>
              <w:tabs>
                <w:tab w:val="left" w:pos="231"/>
                <w:tab w:val="left" w:pos="993"/>
              </w:tabs>
              <w:jc w:val="both"/>
              <w:rPr>
                <w:lang w:val="ro-RO"/>
              </w:rPr>
            </w:pPr>
            <w:r>
              <w:rPr>
                <w:lang w:val="ro-RO"/>
              </w:rPr>
              <w:t>-Cunoașterea și aplicarea în practică a p</w:t>
            </w:r>
            <w:r w:rsidRPr="002D4F54">
              <w:rPr>
                <w:sz w:val="22"/>
                <w:lang w:val="ro-RO"/>
              </w:rPr>
              <w:t>rocedurilor legii cu privire la promovarea ocupării forței de muncă și asigurarea de șomaj</w:t>
            </w:r>
            <w:r w:rsidRPr="009329E1">
              <w:rPr>
                <w:lang w:val="ro-RO"/>
              </w:rPr>
              <w:t>;</w:t>
            </w:r>
          </w:p>
          <w:p w:rsidR="009C178D" w:rsidRPr="00CF7E5A" w:rsidRDefault="009C178D" w:rsidP="009C178D">
            <w:pPr>
              <w:jc w:val="both"/>
              <w:rPr>
                <w:lang w:val="ro-MD"/>
              </w:rPr>
            </w:pPr>
            <w:r>
              <w:rPr>
                <w:lang w:val="ro-RO"/>
              </w:rPr>
              <w:t>-</w:t>
            </w:r>
            <w:r w:rsidRPr="00CF7E5A">
              <w:rPr>
                <w:lang w:val="ro-MD"/>
              </w:rPr>
              <w:t>Limba de stat, limba rusă,  limba engleză un avantaj.</w:t>
            </w:r>
          </w:p>
          <w:p w:rsidR="00621E2F" w:rsidRDefault="009C178D" w:rsidP="009C178D">
            <w:pPr>
              <w:jc w:val="both"/>
              <w:rPr>
                <w:lang w:val="ro-RO"/>
              </w:rPr>
            </w:pPr>
            <w:r>
              <w:rPr>
                <w:lang w:val="ro-MD"/>
              </w:rPr>
              <w:t>-</w:t>
            </w:r>
            <w:r>
              <w:rPr>
                <w:lang w:val="ro-RO"/>
              </w:rPr>
              <w:t>Cunoașterea avansată a</w:t>
            </w:r>
            <w:r w:rsidRPr="009329E1">
              <w:rPr>
                <w:lang w:val="ro-RO"/>
              </w:rPr>
              <w:t xml:space="preserve"> </w:t>
            </w:r>
            <w:r>
              <w:rPr>
                <w:lang w:val="ro-RO"/>
              </w:rPr>
              <w:t>computerului</w:t>
            </w:r>
            <w:r w:rsidRPr="009329E1">
              <w:rPr>
                <w:lang w:val="ro-RO"/>
              </w:rPr>
              <w:t>:</w:t>
            </w:r>
            <w:r>
              <w:rPr>
                <w:lang w:val="ro-RO"/>
              </w:rPr>
              <w:t xml:space="preserve"> Word, Excel, PowerPoint, Acces, programei aplicative JOBLESS  etc.</w:t>
            </w:r>
          </w:p>
          <w:p w:rsidR="009C178D" w:rsidRPr="002C7DDD" w:rsidRDefault="009C178D" w:rsidP="009C178D">
            <w:pPr>
              <w:jc w:val="both"/>
              <w:rPr>
                <w:color w:val="000000" w:themeColor="text1"/>
              </w:rPr>
            </w:pPr>
          </w:p>
          <w:p w:rsidR="00CF3E95" w:rsidRDefault="004D3A1B" w:rsidP="004D3A1B">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621E2F" w:rsidRDefault="009C2A5A" w:rsidP="004D3A1B">
            <w:pPr>
              <w:jc w:val="both"/>
              <w:rPr>
                <w:lang w:val="ro-MD"/>
              </w:rPr>
            </w:pPr>
            <w:r w:rsidRPr="00900EC4">
              <w:rPr>
                <w:lang w:val="ro-MD"/>
              </w:rPr>
              <w:lastRenderedPageBreak/>
              <w:t>Lucru cu informația, analiză și sinteză,</w:t>
            </w:r>
            <w:r>
              <w:rPr>
                <w:lang w:val="ro-MD"/>
              </w:rPr>
              <w:t xml:space="preserve"> elaborare a documentelor, prezentare a informației,</w:t>
            </w:r>
            <w:r w:rsidRPr="00900EC4">
              <w:rPr>
                <w:lang w:val="ro-MD"/>
              </w:rPr>
              <w:t xml:space="preserve"> </w:t>
            </w:r>
            <w:r>
              <w:rPr>
                <w:lang w:val="ro-MD"/>
              </w:rPr>
              <w:t>comunicare eficientă</w:t>
            </w:r>
            <w:r w:rsidRPr="00900EC4">
              <w:rPr>
                <w:lang w:val="ro-MD"/>
              </w:rPr>
              <w:t>, lucru în echipă</w:t>
            </w:r>
            <w:r>
              <w:rPr>
                <w:lang w:val="ro-MD"/>
              </w:rPr>
              <w:t>, aplanare a situațiilor de conflict</w:t>
            </w:r>
            <w:r w:rsidRPr="00900EC4">
              <w:rPr>
                <w:lang w:val="ro-MD"/>
              </w:rPr>
              <w:t>.</w:t>
            </w:r>
          </w:p>
          <w:p w:rsidR="009C178D" w:rsidRPr="002B7725" w:rsidRDefault="009C178D" w:rsidP="004D3A1B">
            <w:pPr>
              <w:jc w:val="both"/>
              <w:rPr>
                <w:color w:val="000000" w:themeColor="text1"/>
                <w:lang w:val="ro-MD"/>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9C2A5A" w:rsidP="00621E2F">
            <w:pPr>
              <w:jc w:val="both"/>
              <w:rPr>
                <w:color w:val="000000" w:themeColor="text1"/>
                <w:lang w:val="ro-RO"/>
              </w:rPr>
            </w:pPr>
            <w:r w:rsidRPr="00900EC4">
              <w:rPr>
                <w:rFonts w:eastAsia="Calibri"/>
                <w:lang w:val="ro-MD"/>
              </w:rPr>
              <w:t>Responsabilitate, respect față de oameni, obiectivitate, loialitate, disciplină, tendință spre dezvoltare profesională continuă</w:t>
            </w:r>
            <w:r>
              <w:rPr>
                <w:rFonts w:eastAsia="Calibri"/>
                <w:lang w:val="ro-MD"/>
              </w:rPr>
              <w:t>, receptivitate față de idei noi</w:t>
            </w:r>
            <w:r w:rsidRPr="00900EC4">
              <w:rPr>
                <w:rFonts w:eastAsia="Calibri"/>
                <w:lang w:val="ro-MD"/>
              </w:rPr>
              <w:t>.</w:t>
            </w:r>
          </w:p>
          <w:p w:rsidR="00621E2F" w:rsidRDefault="00621E2F" w:rsidP="00621E2F">
            <w:pPr>
              <w:jc w:val="both"/>
              <w:rPr>
                <w:color w:val="000000" w:themeColor="text1"/>
                <w:lang w:val="ro-RO"/>
              </w:rPr>
            </w:pPr>
          </w:p>
          <w:p w:rsidR="00621E2F" w:rsidRP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AA5F86">
              <w:rPr>
                <w:b/>
                <w:color w:val="000000" w:themeColor="text1"/>
                <w:u w:val="single"/>
                <w:lang w:val="ro-RO"/>
              </w:rPr>
              <w:t xml:space="preserve">09 septembrie </w:t>
            </w:r>
            <w:r w:rsidR="00F02B1E">
              <w:rPr>
                <w:b/>
                <w:color w:val="000000" w:themeColor="text1"/>
                <w:u w:val="single"/>
                <w:lang w:val="ro-RO"/>
              </w:rPr>
              <w:t>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131D45" w:rsidRPr="00345B8C" w:rsidRDefault="00131D45" w:rsidP="00131D4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131D45" w:rsidRPr="00345B8C" w:rsidRDefault="00131D45" w:rsidP="00131D4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131D45" w:rsidRDefault="00131D45" w:rsidP="00131D4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131D45" w:rsidRPr="00AC50C5" w:rsidRDefault="00131D45" w:rsidP="00131D45">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131D45" w:rsidRDefault="00131D45" w:rsidP="00131D45">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60 din 30.03.2012 privind incluziunea socială a persoanelor cu </w:t>
            </w:r>
            <w:proofErr w:type="spellStart"/>
            <w:r w:rsidRPr="00345B8C">
              <w:rPr>
                <w:color w:val="000000" w:themeColor="text1"/>
                <w:lang w:val="ro-RO"/>
              </w:rPr>
              <w:t>dizabilităţi</w:t>
            </w:r>
            <w:proofErr w:type="spellEnd"/>
            <w:r w:rsidRPr="00345B8C">
              <w:rPr>
                <w:color w:val="000000" w:themeColor="text1"/>
                <w:lang w:val="ro-RO"/>
              </w:rPr>
              <w:t>;</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881ECB" w:rsidRPr="003C579A" w:rsidRDefault="00131D45" w:rsidP="003C579A">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2C7DDD" w:rsidRPr="002C7DDD" w:rsidRDefault="002C7DDD" w:rsidP="002C7DDD">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C24E8F" w:rsidRPr="001120F9" w:rsidRDefault="00C24E8F" w:rsidP="009C178D">
            <w:pP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9F" w:rsidRDefault="0003649F">
      <w:r>
        <w:separator/>
      </w:r>
    </w:p>
  </w:endnote>
  <w:endnote w:type="continuationSeparator" w:id="0">
    <w:p w:rsidR="0003649F" w:rsidRDefault="0003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9F" w:rsidRDefault="0003649F">
      <w:r>
        <w:separator/>
      </w:r>
    </w:p>
  </w:footnote>
  <w:footnote w:type="continuationSeparator" w:id="0">
    <w:p w:rsidR="0003649F" w:rsidRDefault="0003649F">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199C3BBC"/>
    <w:multiLevelType w:val="hybridMultilevel"/>
    <w:tmpl w:val="C0563F8C"/>
    <w:lvl w:ilvl="0" w:tplc="27683D1C">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9"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7"/>
  </w:num>
  <w:num w:numId="5">
    <w:abstractNumId w:val="1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8"/>
  </w:num>
  <w:num w:numId="14">
    <w:abstractNumId w:val="3"/>
  </w:num>
  <w:num w:numId="15">
    <w:abstractNumId w:val="16"/>
  </w:num>
  <w:num w:numId="16">
    <w:abstractNumId w:val="10"/>
  </w:num>
  <w:num w:numId="17">
    <w:abstractNumId w:val="0"/>
  </w:num>
  <w:num w:numId="18">
    <w:abstractNumId w:val="4"/>
  </w:num>
  <w:num w:numId="19">
    <w:abstractNumId w:val="1"/>
  </w:num>
  <w:num w:numId="20">
    <w:abstractNumId w:val="15"/>
  </w:num>
  <w:num w:numId="21">
    <w:abstractNumId w:val="5"/>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3649F"/>
    <w:rsid w:val="00040851"/>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1D45"/>
    <w:rsid w:val="0013404A"/>
    <w:rsid w:val="00136392"/>
    <w:rsid w:val="00140467"/>
    <w:rsid w:val="00144F00"/>
    <w:rsid w:val="001623A8"/>
    <w:rsid w:val="00164DD0"/>
    <w:rsid w:val="00167B4E"/>
    <w:rsid w:val="001873A9"/>
    <w:rsid w:val="00195214"/>
    <w:rsid w:val="00196841"/>
    <w:rsid w:val="001A638C"/>
    <w:rsid w:val="001B234E"/>
    <w:rsid w:val="001D1C41"/>
    <w:rsid w:val="001D56C1"/>
    <w:rsid w:val="001D7D0D"/>
    <w:rsid w:val="001E0805"/>
    <w:rsid w:val="001E6D8A"/>
    <w:rsid w:val="00220758"/>
    <w:rsid w:val="0022369D"/>
    <w:rsid w:val="0022450F"/>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7725"/>
    <w:rsid w:val="002C1E9E"/>
    <w:rsid w:val="002C7DDD"/>
    <w:rsid w:val="002D353A"/>
    <w:rsid w:val="002D4779"/>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90118"/>
    <w:rsid w:val="00390448"/>
    <w:rsid w:val="00394524"/>
    <w:rsid w:val="003958ED"/>
    <w:rsid w:val="003977F8"/>
    <w:rsid w:val="003A78BC"/>
    <w:rsid w:val="003B29C2"/>
    <w:rsid w:val="003B2B78"/>
    <w:rsid w:val="003B3A16"/>
    <w:rsid w:val="003B6B9C"/>
    <w:rsid w:val="003C1028"/>
    <w:rsid w:val="003C579A"/>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05E0"/>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2360"/>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7F0AAD"/>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B1CF0"/>
    <w:rsid w:val="009B6EFE"/>
    <w:rsid w:val="009C178D"/>
    <w:rsid w:val="009C2A5A"/>
    <w:rsid w:val="009D41F6"/>
    <w:rsid w:val="009D4DFB"/>
    <w:rsid w:val="009D5F47"/>
    <w:rsid w:val="009E382E"/>
    <w:rsid w:val="009E4020"/>
    <w:rsid w:val="009F2D41"/>
    <w:rsid w:val="009F3E1F"/>
    <w:rsid w:val="009F6A21"/>
    <w:rsid w:val="00A03E9C"/>
    <w:rsid w:val="00A11237"/>
    <w:rsid w:val="00A157B4"/>
    <w:rsid w:val="00A275E0"/>
    <w:rsid w:val="00A340DA"/>
    <w:rsid w:val="00A44808"/>
    <w:rsid w:val="00A4722B"/>
    <w:rsid w:val="00A56E30"/>
    <w:rsid w:val="00A617B3"/>
    <w:rsid w:val="00A67A87"/>
    <w:rsid w:val="00A70685"/>
    <w:rsid w:val="00A72A68"/>
    <w:rsid w:val="00A746F3"/>
    <w:rsid w:val="00A77442"/>
    <w:rsid w:val="00A776C7"/>
    <w:rsid w:val="00A907E6"/>
    <w:rsid w:val="00A947FB"/>
    <w:rsid w:val="00AA3CA9"/>
    <w:rsid w:val="00AA4610"/>
    <w:rsid w:val="00AA550C"/>
    <w:rsid w:val="00AA5F86"/>
    <w:rsid w:val="00AB6415"/>
    <w:rsid w:val="00AC372D"/>
    <w:rsid w:val="00AC6CD3"/>
    <w:rsid w:val="00AD32BF"/>
    <w:rsid w:val="00AD35DA"/>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3960"/>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290"/>
    <w:rsid w:val="00CE6B3C"/>
    <w:rsid w:val="00CF3E95"/>
    <w:rsid w:val="00CF5454"/>
    <w:rsid w:val="00CF63BE"/>
    <w:rsid w:val="00CF6FCF"/>
    <w:rsid w:val="00D13905"/>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6BD9"/>
    <w:rsid w:val="00D941C1"/>
    <w:rsid w:val="00D96F0A"/>
    <w:rsid w:val="00DA00C9"/>
    <w:rsid w:val="00DA0C29"/>
    <w:rsid w:val="00DA28EE"/>
    <w:rsid w:val="00DB5709"/>
    <w:rsid w:val="00DC056B"/>
    <w:rsid w:val="00DC0B1D"/>
    <w:rsid w:val="00DC2628"/>
    <w:rsid w:val="00DD1548"/>
    <w:rsid w:val="00DD1C03"/>
    <w:rsid w:val="00DD52EE"/>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D6045"/>
    <w:rsid w:val="00EE0392"/>
    <w:rsid w:val="00EE268F"/>
    <w:rsid w:val="00EE7703"/>
    <w:rsid w:val="00EF0A48"/>
    <w:rsid w:val="00F004B7"/>
    <w:rsid w:val="00F02B1E"/>
    <w:rsid w:val="00F030BC"/>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A0A12"/>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77C31"/>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99"/>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4249</Characters>
  <Application>Microsoft Office Word</Application>
  <DocSecurity>0</DocSecurity>
  <Lines>35</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4985</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Doina Balan</cp:lastModifiedBy>
  <cp:revision>3</cp:revision>
  <cp:lastPrinted>2018-12-19T09:52:00Z</cp:lastPrinted>
  <dcterms:created xsi:type="dcterms:W3CDTF">2020-08-19T12:11:00Z</dcterms:created>
  <dcterms:modified xsi:type="dcterms:W3CDTF">2020-08-19T12:21:00Z</dcterms:modified>
</cp:coreProperties>
</file>