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7D" w:rsidRPr="008F2316" w:rsidRDefault="00AF0443" w:rsidP="00021E7D">
      <w:pPr>
        <w:shd w:val="clear" w:color="auto" w:fill="FFFFFF" w:themeFill="background1"/>
        <w:ind w:hanging="1134"/>
        <w:jc w:val="center"/>
        <w:rPr>
          <w:rFonts w:ascii="Arial" w:hAnsi="Arial" w:cs="Arial"/>
          <w:b/>
          <w:color w:val="44546A" w:themeColor="text2"/>
          <w:sz w:val="28"/>
          <w:szCs w:val="28"/>
          <w:lang w:val="ro-RO"/>
        </w:rPr>
      </w:pPr>
      <w:r w:rsidRPr="008F2316">
        <w:rPr>
          <w:rFonts w:ascii="Arial" w:hAnsi="Arial" w:cs="Arial"/>
          <w:b/>
          <w:color w:val="44546A" w:themeColor="text2"/>
          <w:sz w:val="28"/>
          <w:szCs w:val="28"/>
          <w:u w:val="single"/>
          <w:lang w:val="ro-RO"/>
        </w:rPr>
        <w:t>Ocuparea și Șomajul</w:t>
      </w:r>
      <w:r w:rsidR="00021E7D" w:rsidRPr="008F2316">
        <w:rPr>
          <w:rFonts w:ascii="Arial" w:hAnsi="Arial" w:cs="Arial"/>
          <w:b/>
          <w:color w:val="44546A" w:themeColor="text2"/>
          <w:sz w:val="28"/>
          <w:szCs w:val="28"/>
          <w:u w:val="single"/>
          <w:lang w:val="ro-RO"/>
        </w:rPr>
        <w:t xml:space="preserve"> în anul 202</w:t>
      </w:r>
      <w:r w:rsidR="003F4ABD" w:rsidRPr="008F2316">
        <w:rPr>
          <w:rFonts w:ascii="Arial" w:hAnsi="Arial" w:cs="Arial"/>
          <w:b/>
          <w:color w:val="44546A" w:themeColor="text2"/>
          <w:sz w:val="28"/>
          <w:szCs w:val="28"/>
          <w:u w:val="single"/>
          <w:lang w:val="ro-RO"/>
        </w:rPr>
        <w:t>4</w:t>
      </w:r>
      <w:r w:rsidR="00021E7D" w:rsidRPr="008F2316">
        <w:rPr>
          <w:rFonts w:ascii="Arial" w:hAnsi="Arial" w:cs="Arial"/>
          <w:b/>
          <w:color w:val="44546A" w:themeColor="text2"/>
          <w:sz w:val="28"/>
          <w:szCs w:val="28"/>
          <w:u w:val="single"/>
          <w:lang w:val="ro-RO"/>
        </w:rPr>
        <w:t xml:space="preserve"> </w:t>
      </w:r>
      <w:r w:rsidR="00021E7D" w:rsidRPr="008F2316">
        <w:rPr>
          <w:rFonts w:ascii="Arial" w:hAnsi="Arial" w:cs="Arial"/>
          <w:b/>
          <w:color w:val="44546A" w:themeColor="text2"/>
          <w:sz w:val="28"/>
          <w:szCs w:val="28"/>
          <w:lang w:val="ro-RO"/>
        </w:rPr>
        <w:t xml:space="preserve"> </w:t>
      </w:r>
    </w:p>
    <w:p w:rsidR="008B65AB" w:rsidRPr="008F2316" w:rsidRDefault="00021E7D" w:rsidP="00021E7D">
      <w:pPr>
        <w:shd w:val="clear" w:color="auto" w:fill="FFFFFF" w:themeFill="background1"/>
        <w:ind w:hanging="1134"/>
        <w:jc w:val="center"/>
        <w:rPr>
          <w:rFonts w:ascii="Arial" w:hAnsi="Arial" w:cs="Arial"/>
          <w:b/>
          <w:color w:val="44546A" w:themeColor="text2"/>
          <w:sz w:val="24"/>
          <w:szCs w:val="24"/>
          <w:u w:val="single"/>
          <w:lang w:val="ro-RO"/>
        </w:rPr>
      </w:pP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(conform datelor BNS și AN</w:t>
      </w:r>
      <w:r w:rsidR="00110C7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O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FM)</w:t>
      </w:r>
    </w:p>
    <w:tbl>
      <w:tblPr>
        <w:tblStyle w:val="GridTable5Dark-Accent51"/>
        <w:tblpPr w:leftFromText="180" w:rightFromText="180" w:vertAnchor="text" w:horzAnchor="page" w:tblpX="841" w:tblpY="77"/>
        <w:tblW w:w="0" w:type="auto"/>
        <w:tblLook w:val="04A0" w:firstRow="1" w:lastRow="0" w:firstColumn="1" w:lastColumn="0" w:noHBand="0" w:noVBand="1"/>
      </w:tblPr>
      <w:tblGrid>
        <w:gridCol w:w="3823"/>
        <w:gridCol w:w="756"/>
        <w:gridCol w:w="876"/>
      </w:tblGrid>
      <w:tr w:rsidR="008B65AB" w:rsidTr="00831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8B65AB" w:rsidRPr="008D3B9C" w:rsidRDefault="008B65AB" w:rsidP="00A3734C">
            <w:pPr>
              <w:ind w:left="180"/>
              <w:jc w:val="right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B65AB" w:rsidRPr="008D3B9C" w:rsidRDefault="00BC65A3" w:rsidP="00A37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Anul</w:t>
            </w:r>
          </w:p>
          <w:p w:rsidR="008B65AB" w:rsidRPr="008D3B9C" w:rsidRDefault="008B65AB" w:rsidP="00241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202</w:t>
            </w:r>
            <w:r w:rsidR="00241317" w:rsidRPr="008D3B9C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B65AB" w:rsidRPr="008D3B9C" w:rsidRDefault="00BC65A3" w:rsidP="00A37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Anul</w:t>
            </w:r>
          </w:p>
          <w:p w:rsidR="008B65AB" w:rsidRPr="008D3B9C" w:rsidRDefault="008B65AB" w:rsidP="00241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202</w:t>
            </w:r>
            <w:r w:rsidR="00241317" w:rsidRPr="008D3B9C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</w:tr>
      <w:tr w:rsidR="00CB1E86" w:rsidTr="0083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CB1E86" w:rsidRPr="008D3B9C" w:rsidRDefault="00CB1E86" w:rsidP="00AB545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Forţa de muncă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5A143A" w:rsidP="00AB545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929,5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AB545E" w:rsidP="00AB545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889,1</w:t>
            </w:r>
          </w:p>
        </w:tc>
      </w:tr>
      <w:tr w:rsidR="00CB1E86" w:rsidTr="00831EF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CB1E86" w:rsidRPr="008D3B9C" w:rsidRDefault="00CB1E86" w:rsidP="00AB545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Populaţia ocupată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721E65" w:rsidP="00AB545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886,9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AB545E" w:rsidP="00AB545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853,9</w:t>
            </w:r>
          </w:p>
        </w:tc>
      </w:tr>
      <w:tr w:rsidR="00CB1E86" w:rsidTr="0083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CB1E86" w:rsidRPr="008D3B9C" w:rsidRDefault="00CB1E86" w:rsidP="00AB545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Şomeri conform BIM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721E65" w:rsidP="00AB545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42,6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721E65" w:rsidP="00AB545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35,2</w:t>
            </w:r>
          </w:p>
        </w:tc>
      </w:tr>
      <w:tr w:rsidR="00CB1E86" w:rsidTr="00831EF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CB1E86" w:rsidRPr="008D3B9C" w:rsidRDefault="00CB1E86" w:rsidP="00AB545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B9C">
              <w:rPr>
                <w:rFonts w:ascii="Arial" w:hAnsi="Arial" w:cs="Arial"/>
                <w:sz w:val="20"/>
                <w:szCs w:val="20"/>
              </w:rPr>
              <w:t xml:space="preserve">Rata </w:t>
            </w: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șomajului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721E65" w:rsidP="00AB545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4,6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721E65" w:rsidP="00AB545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4,0</w:t>
            </w:r>
          </w:p>
        </w:tc>
      </w:tr>
      <w:tr w:rsidR="008D3B9C" w:rsidTr="0083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8D3B9C" w:rsidRPr="008D3B9C" w:rsidRDefault="008D3B9C" w:rsidP="00AB545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Persoane înregistrate la ANOFM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C" w:rsidRPr="000F4712" w:rsidRDefault="000F4712" w:rsidP="00AB545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65,0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C" w:rsidRPr="000F4712" w:rsidRDefault="000F4712" w:rsidP="000F471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59,4</w:t>
            </w:r>
          </w:p>
        </w:tc>
      </w:tr>
      <w:tr w:rsidR="00CB1E86" w:rsidRPr="008B65AB" w:rsidTr="00831EF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CB1E86" w:rsidRPr="008D3B9C" w:rsidRDefault="00CB1E86" w:rsidP="00AB545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Şomeri înregistraţi la ANOFM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0F4712" w:rsidP="00AB545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26,5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0F4712" w:rsidP="00AB545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18,8</w:t>
            </w:r>
          </w:p>
        </w:tc>
      </w:tr>
      <w:tr w:rsidR="00CB1E86" w:rsidRPr="008B65AB" w:rsidTr="0083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CB1E86" w:rsidRPr="008D3B9C" w:rsidRDefault="00CB1E86" w:rsidP="00AB545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Locuri vacante înregistrate la ANOFM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0F4712" w:rsidP="00AB545E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32,2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0F4712" w:rsidP="00AB545E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33,1</w:t>
            </w:r>
          </w:p>
        </w:tc>
      </w:tr>
      <w:tr w:rsidR="00CB1E86" w:rsidRPr="008B65AB" w:rsidTr="00831EF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CB1E86" w:rsidRPr="008D3B9C" w:rsidRDefault="00CB1E86" w:rsidP="00AB545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Nivelul acoperirii cererii de forță de muncă</w:t>
            </w:r>
            <w:r w:rsidR="000F4712">
              <w:rPr>
                <w:rFonts w:ascii="Arial" w:hAnsi="Arial" w:cs="Arial"/>
                <w:sz w:val="20"/>
                <w:szCs w:val="20"/>
                <w:lang w:val="ro-RO"/>
              </w:rPr>
              <w:t>, șomeri/locuri vacante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0F4712" w:rsidP="00831EF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0,8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86" w:rsidRPr="000F4712" w:rsidRDefault="000F4712" w:rsidP="00831EF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 w:rsidRPr="000F4712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0,6</w:t>
            </w:r>
          </w:p>
        </w:tc>
      </w:tr>
      <w:tr w:rsidR="000F4712" w:rsidRPr="000F4712" w:rsidTr="00831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auto"/>
            </w:tcBorders>
            <w:shd w:val="clear" w:color="auto" w:fill="0070C0"/>
          </w:tcPr>
          <w:p w:rsidR="000F4712" w:rsidRPr="008D3B9C" w:rsidRDefault="000F4712" w:rsidP="00AB545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B9C">
              <w:rPr>
                <w:rFonts w:ascii="Arial" w:hAnsi="Arial" w:cs="Arial"/>
                <w:sz w:val="20"/>
                <w:szCs w:val="20"/>
                <w:lang w:val="ro-RO"/>
              </w:rPr>
              <w:t>Nivelul acoperirii cererii de forță de muncă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, șomeri/locuri vacante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12" w:rsidRPr="000F4712" w:rsidRDefault="000F4712" w:rsidP="00AB545E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12" w:rsidRPr="000F4712" w:rsidRDefault="000F4712" w:rsidP="00AB545E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ro-RO"/>
              </w:rPr>
              <w:t>1,8</w:t>
            </w:r>
          </w:p>
        </w:tc>
      </w:tr>
    </w:tbl>
    <w:p w:rsidR="00895E86" w:rsidRPr="008F2316" w:rsidRDefault="008B65AB" w:rsidP="003E7D5A">
      <w:pPr>
        <w:shd w:val="clear" w:color="auto" w:fill="FFFFFF" w:themeFill="background1"/>
        <w:spacing w:after="0" w:line="360" w:lineRule="auto"/>
        <w:ind w:left="-902" w:right="50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Forța de muncă 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în </w:t>
      </w:r>
      <w:r w:rsidR="007A696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anul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FB2F0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202</w:t>
      </w:r>
      <w:r w:rsidR="003F4AB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4</w:t>
      </w:r>
      <w:r w:rsidR="00FB2F0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a constituit </w:t>
      </w:r>
      <w:r w:rsidR="003F4ABD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889,1</w:t>
      </w:r>
      <w:r w:rsidR="001B6B49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mii persoane </w:t>
      </w:r>
      <w:r w:rsidR="009B037A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fiind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3F4AB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în descreștere 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cu </w:t>
      </w:r>
      <w:r w:rsidR="003F4ABD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4,3</w:t>
      </w:r>
      <w:r w:rsidR="00DF3248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față de </w:t>
      </w:r>
      <w:r w:rsidR="008515E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anul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202</w:t>
      </w:r>
      <w:r w:rsidR="003F4AB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3</w:t>
      </w:r>
      <w:r w:rsidR="009B037A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.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</w:p>
    <w:p w:rsidR="007A5FB7" w:rsidRPr="008F2316" w:rsidRDefault="00E72E3E" w:rsidP="003E7D5A">
      <w:pPr>
        <w:pStyle w:val="ab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În </w:t>
      </w:r>
      <w:r w:rsidR="007905AE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anul</w:t>
      </w:r>
      <w:r w:rsidRPr="008F2316">
        <w:rPr>
          <w:rStyle w:val="a4"/>
          <w:rFonts w:ascii="Arial" w:hAnsi="Arial" w:cs="Arial"/>
          <w:color w:val="44546A" w:themeColor="text2"/>
          <w:sz w:val="24"/>
          <w:szCs w:val="24"/>
          <w:lang w:val="ro-RO"/>
        </w:rPr>
        <w:t xml:space="preserve"> 202</w:t>
      </w:r>
      <w:r w:rsidR="009B037A" w:rsidRPr="008F2316">
        <w:rPr>
          <w:rStyle w:val="a4"/>
          <w:rFonts w:ascii="Arial" w:hAnsi="Arial" w:cs="Arial"/>
          <w:color w:val="44546A" w:themeColor="text2"/>
          <w:sz w:val="24"/>
          <w:szCs w:val="24"/>
          <w:lang w:val="ro-RO"/>
        </w:rPr>
        <w:t>4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 Produsul Intern Brut a </w:t>
      </w:r>
      <w:r w:rsidR="00875E7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stagnat, înregistrând o creștere nesemnificativă de doar 0,1% față de 2023, fără a reuși să recupereze pierderile din criza din 2022, când economia s-a contractat cu 4,6%.</w:t>
      </w:r>
    </w:p>
    <w:p w:rsidR="008F7483" w:rsidRPr="008F2316" w:rsidRDefault="007B5D63" w:rsidP="003E7D5A">
      <w:pPr>
        <w:shd w:val="clear" w:color="auto" w:fill="FFFFFF" w:themeFill="background1"/>
        <w:spacing w:before="120" w:after="0" w:line="360" w:lineRule="auto"/>
        <w:ind w:left="-902"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Populația ocupată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a constituit 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853,9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mii persoane față de 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886,9</w:t>
      </w:r>
      <w:r w:rsidR="0078137E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mii în anul 202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3</w:t>
      </w:r>
      <w:r w:rsidR="0078137E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(cu 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3,7</w:t>
      </w:r>
      <w:r w:rsidR="0078137E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78137E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mai 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puțin</w:t>
      </w:r>
      <w:r w:rsidR="0078137E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)</w:t>
      </w:r>
      <w:r w:rsidR="00A403CE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. 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Distribuția ponderii persoanelor ocupate conform mediului de reședință a fost următoarea: </w:t>
      </w:r>
      <w:r w:rsidR="00626CDF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50,4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- mediul rural și respectiv, </w:t>
      </w:r>
      <w:r w:rsidR="00626CDF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49,6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- mediul urban. Ponderile persoanelor ocupate  în anul 202</w:t>
      </w:r>
      <w:r w:rsidR="00626CD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4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pe 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activități economice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a depășit </w:t>
      </w:r>
      <w:r w:rsidR="001B331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ușor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1B331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valorile înregistrate la unele activități comparativ cu 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anul 202</w:t>
      </w:r>
      <w:r w:rsidR="00626CD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3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,</w:t>
      </w:r>
      <w:r w:rsidR="001B331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iar la unele se atestă scădere: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E2793C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S</w:t>
      </w:r>
      <w:r w:rsidR="006E4FA7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ervicii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– </w:t>
      </w:r>
      <w:r w:rsidR="00F14CDD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61,0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E2793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E2793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(în 2023 – 57,6%)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, </w:t>
      </w:r>
      <w:r w:rsidR="00E2793C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A</w:t>
      </w:r>
      <w:r w:rsidR="006E4FA7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gricultură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– </w:t>
      </w:r>
      <w:r w:rsidR="00E2793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18,1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E2793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E2793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(în 2023 – 20,9%)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, </w:t>
      </w:r>
      <w:r w:rsidR="00E2793C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I</w:t>
      </w:r>
      <w:r w:rsidR="006E4FA7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ndustria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– </w:t>
      </w:r>
      <w:r w:rsidR="00E2793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13,4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%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E2793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(în 2023 – 14,4%), 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(inclusiv </w:t>
      </w:r>
      <w:r w:rsidR="00E2793C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I</w:t>
      </w:r>
      <w:r w:rsidR="006E4FA7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ndustria prelucrătoare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– </w:t>
      </w:r>
      <w:r w:rsidR="00E2793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11,3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E2793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E2793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(în 2023 – 12,2%)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), </w:t>
      </w:r>
      <w:r w:rsidR="00E2793C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C</w:t>
      </w:r>
      <w:r w:rsidR="006E4FA7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onstrucții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– </w:t>
      </w:r>
      <w:r w:rsidR="00E2793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7,5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E2793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E2793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(în 2023 – 7,1%)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. Repartizarea ocupării după forme  de proprietate </w:t>
      </w:r>
      <w:r w:rsidR="008F7483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arată că 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sectorul privat </w:t>
      </w:r>
      <w:r w:rsidR="008F7483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a absorbit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8F7483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–</w:t>
      </w:r>
      <w:r w:rsidR="006E4FA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8F7483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63,5</w:t>
      </w:r>
      <w:r w:rsidR="006E4FA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8F7483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8F7483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din populația ocupată, și numai </w:t>
      </w:r>
      <w:r w:rsidR="008F7483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36,5%</w:t>
      </w:r>
      <w:r w:rsidR="008F7483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sectorul public.</w:t>
      </w:r>
    </w:p>
    <w:p w:rsidR="00A00D22" w:rsidRPr="008F2316" w:rsidRDefault="00B57BC2" w:rsidP="003E7D5A">
      <w:pPr>
        <w:shd w:val="clear" w:color="auto" w:fill="FFFFFF" w:themeFill="background1"/>
        <w:spacing w:after="0" w:line="360" w:lineRule="auto"/>
        <w:ind w:left="-902"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B20285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Ponderea persoanelor, care au avut un loc de muncă informal </w:t>
      </w:r>
      <w:r w:rsidR="00B20285" w:rsidRPr="00B20285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a constituit </w:t>
      </w:r>
      <w:r w:rsidR="00B20285" w:rsidRPr="00B20285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20,6%</w:t>
      </w:r>
      <w:r w:rsidR="00B20285" w:rsidRPr="00B20285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din total persoane ocupate.</w:t>
      </w:r>
      <w:r w:rsidR="00A00D22" w:rsidRPr="00B20285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Cea mai mare pondere a persoanelor ocupate informal în activităţile non-agricole este </w:t>
      </w:r>
      <w:r w:rsidR="00A00D22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înregistrată în construcţii (</w:t>
      </w:r>
      <w:r w:rsidR="00A00D22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63,3%</w:t>
      </w:r>
      <w:r w:rsidR="00A00D22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din totalul persoanelor ocupate în construcţii). </w:t>
      </w:r>
    </w:p>
    <w:p w:rsidR="00182105" w:rsidRPr="008F2316" w:rsidRDefault="006E4FA7" w:rsidP="003E7D5A">
      <w:pPr>
        <w:shd w:val="clear" w:color="auto" w:fill="FFFFFF" w:themeFill="background1"/>
        <w:spacing w:after="0" w:line="360" w:lineRule="auto"/>
        <w:ind w:left="-902"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Numărul șomerilor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estimat conform definiției Biroului Internațional al Muncii (BIM) în anul 202</w:t>
      </w:r>
      <w:r w:rsidR="004A2DE9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4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a fost de </w:t>
      </w:r>
      <w:r w:rsidR="004A2DE9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35,2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mii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față de </w:t>
      </w:r>
      <w:r w:rsidR="004A2DE9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42,6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mii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în anul 202</w:t>
      </w:r>
      <w:r w:rsidR="004A2DE9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3.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BB70F2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Conform bazei de date a Agenției Naționale pentru Ocuparea Forței de Muncă (ANOFM), numărul șomerilor înregistrați s-a diminuat cu </w:t>
      </w:r>
      <w:r w:rsidR="004A2DE9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29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comparativ cu anul 202</w:t>
      </w:r>
      <w:r w:rsidR="004A2DE9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3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(de la </w:t>
      </w:r>
      <w:r w:rsidR="004A2DE9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26,5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mii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la </w:t>
      </w:r>
      <w:r w:rsidR="004A2DE9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18,8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mii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)</w:t>
      </w:r>
      <w:r w:rsidR="00BB70F2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.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BB70F2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Î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n </w:t>
      </w:r>
      <w:r w:rsidR="00BB70F2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d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istribuția lor conform 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reședinței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denotă, </w:t>
      </w:r>
      <w:r w:rsidR="00BB70F2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o pondere mai mare a 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şomerilor (</w:t>
      </w:r>
      <w:r w:rsidR="00BB70F2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59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) din mediul rural, iar repartizarea lor conform vârstei atestă, că grupul de vârstă de 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3</w:t>
      </w:r>
      <w:r w:rsidR="00BB70F2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5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– 49 ani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posedă cea mai înaltă capacitate de muncă (</w:t>
      </w:r>
      <w:r w:rsidR="00BB70F2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42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). Totodată, </w:t>
      </w:r>
      <w:r w:rsidR="00BB70F2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22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din șomerii înregistraţi  erau prima dată în căutarea unui loc de muncă.</w:t>
      </w:r>
      <w:r w:rsidR="000A103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4D070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Distribuția conform </w:t>
      </w:r>
      <w:r w:rsidR="004D070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studiilor</w:t>
      </w:r>
      <w:r w:rsidR="004D070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8528B2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relevă, </w:t>
      </w:r>
      <w:r w:rsidR="004D070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că </w:t>
      </w:r>
      <w:r w:rsidR="00F4333A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practic 2 șomeri din 3 (</w:t>
      </w:r>
      <w:r w:rsidR="007D4B06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62</w:t>
      </w:r>
      <w:r w:rsidR="004D070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F4333A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)</w:t>
      </w:r>
      <w:r w:rsidR="004D070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nu aveau o calificare profesională</w:t>
      </w:r>
      <w:r w:rsidR="00E856B1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. </w:t>
      </w:r>
      <w:r w:rsidR="00C90E7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P</w:t>
      </w:r>
      <w:r w:rsidR="00A26BC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onder</w:t>
      </w:r>
      <w:r w:rsidR="00C90E7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ea</w:t>
      </w:r>
      <w:r w:rsidR="00A26BC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șomerilor </w:t>
      </w:r>
      <w:r w:rsidR="00A26BCD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plasați </w:t>
      </w:r>
      <w:r w:rsidR="00A26BC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per total</w:t>
      </w:r>
      <w:r w:rsidR="007C487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înregistrați </w:t>
      </w:r>
      <w:r w:rsidR="00C90E7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în anul 202</w:t>
      </w:r>
      <w:r w:rsidR="00830D7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4</w:t>
      </w:r>
      <w:r w:rsidR="005F3EC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(38%)</w:t>
      </w:r>
      <w:r w:rsidR="00C90E7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5F3EC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a crescut cu 4 p.p. față de </w:t>
      </w:r>
      <w:r w:rsidR="00C90E7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202</w:t>
      </w:r>
      <w:r w:rsidR="00830D7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3</w:t>
      </w:r>
      <w:r w:rsidR="005F3EC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(34%), </w:t>
      </w:r>
      <w:r w:rsidR="00C90E7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totodată </w:t>
      </w:r>
      <w:r w:rsidR="007C487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numărul</w:t>
      </w:r>
      <w:r w:rsidR="0018210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7C487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mare al </w:t>
      </w:r>
      <w:r w:rsidR="0018210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șomerilor fără calificare </w:t>
      </w:r>
      <w:r w:rsidR="00C90E7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este</w:t>
      </w:r>
      <w:r w:rsidR="007C487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în continuare </w:t>
      </w:r>
      <w:r w:rsidR="0018210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un obstacol major</w:t>
      </w:r>
      <w:r w:rsidR="00C90E7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,</w:t>
      </w:r>
      <w:r w:rsidR="0018210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care reduce </w:t>
      </w:r>
      <w:r w:rsidR="00F91D9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pe termen scurt și mediu </w:t>
      </w:r>
      <w:r w:rsidR="0018210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ș</w:t>
      </w:r>
      <w:r w:rsidR="00DD7A5E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a</w:t>
      </w:r>
      <w:r w:rsidR="0018210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nsele de ocupare a acestora</w:t>
      </w:r>
      <w:r w:rsidR="007C487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și necesită </w:t>
      </w:r>
      <w:r w:rsidR="0018210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eforturi </w:t>
      </w:r>
      <w:r w:rsidR="007C487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sus</w:t>
      </w:r>
      <w:r w:rsidR="008F5201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tenabile</w:t>
      </w:r>
      <w:r w:rsidR="0018210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pentru antrenarea lor în cursuri de </w:t>
      </w:r>
      <w:r w:rsidR="0018210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lastRenderedPageBreak/>
        <w:t>formare profesională</w:t>
      </w:r>
      <w:r w:rsidR="00A12BC3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și certificarea competențelor dobândite în contexte </w:t>
      </w:r>
      <w:r w:rsidR="005A726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de educație </w:t>
      </w:r>
      <w:r w:rsidR="00A12BC3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informal</w:t>
      </w:r>
      <w:r w:rsidR="005A726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ă și nonformală</w:t>
      </w:r>
      <w:r w:rsidR="009661D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.</w:t>
      </w:r>
    </w:p>
    <w:p w:rsidR="00F806AC" w:rsidRPr="008F2316" w:rsidRDefault="00CA7B59" w:rsidP="003E7D5A">
      <w:pPr>
        <w:shd w:val="clear" w:color="auto" w:fill="FFFFFF" w:themeFill="background1"/>
        <w:spacing w:after="0" w:line="360" w:lineRule="auto"/>
        <w:ind w:left="-902"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Rata șomajului 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conform BIM la nivel național a constituit </w:t>
      </w:r>
      <w:r w:rsidR="00485C92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4,0</w:t>
      </w: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06600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,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06600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fiind </w:t>
      </w:r>
      <w:r w:rsidR="007D4B0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în descreștere față de </w:t>
      </w:r>
      <w:r w:rsidR="0006600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202</w:t>
      </w:r>
      <w:r w:rsidR="007D4B0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3</w:t>
      </w:r>
      <w:r w:rsidR="0006600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- </w:t>
      </w:r>
      <w:r w:rsidR="007D4B06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4,6</w:t>
      </w:r>
      <w:r w:rsidR="0006600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771D22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.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983D0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O</w:t>
      </w:r>
      <w:r w:rsidR="006A0CD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atenție </w:t>
      </w:r>
      <w:r w:rsidR="0006600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deosebită </w:t>
      </w:r>
      <w:r w:rsidR="006A0CD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necesită </w:t>
      </w:r>
      <w:r w:rsidR="006050B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grupul </w:t>
      </w:r>
      <w:r w:rsidR="006A0CD6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tineri</w:t>
      </w:r>
      <w:r w:rsidR="006050B5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lor</w:t>
      </w:r>
      <w:r w:rsidR="001E6A2B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NEET</w:t>
      </w:r>
      <w:r w:rsidR="001E6A2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(care nu învață și nu lucrează)</w:t>
      </w:r>
      <w:r w:rsidR="006A0CD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, ponderea</w:t>
      </w:r>
      <w:r w:rsidR="001E6A2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6A0CD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căr</w:t>
      </w:r>
      <w:r w:rsidR="006050B5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uia</w:t>
      </w:r>
      <w:r w:rsidR="006A0CD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1E6A2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în grupul tinerilor </w:t>
      </w:r>
      <w:r w:rsidR="001E6A2B" w:rsidRPr="00B20285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de </w:t>
      </w:r>
      <w:r w:rsidR="001E6A2B" w:rsidRPr="00B20285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15-</w:t>
      </w:r>
      <w:r w:rsidR="00B20285" w:rsidRPr="00B20285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3</w:t>
      </w:r>
      <w:r w:rsidR="00615C08" w:rsidRPr="00B20285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4</w:t>
      </w:r>
      <w:r w:rsidR="001E6A2B" w:rsidRPr="00B20285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ani</w:t>
      </w:r>
      <w:r w:rsidR="001E6A2B" w:rsidRPr="00B20285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D43C3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a constituit </w:t>
      </w:r>
      <w:r w:rsidR="00B20285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25,4</w:t>
      </w:r>
      <w:r w:rsidR="00D43C3D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D43C3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și </w:t>
      </w:r>
      <w:r w:rsidR="001E6A2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s-a diminuat ușor comparativ cu </w:t>
      </w:r>
      <w:r w:rsidR="007B103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anul</w:t>
      </w:r>
      <w:r w:rsidR="001E6A2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202</w:t>
      </w:r>
      <w:r w:rsidR="007D4B0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3</w:t>
      </w:r>
      <w:r w:rsidR="0056573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D43C3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(</w:t>
      </w:r>
      <w:r w:rsidR="00B20285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27,6</w:t>
      </w:r>
      <w:r w:rsidR="004A5786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D43C3D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)</w:t>
      </w:r>
      <w:r w:rsidR="009661D4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.</w:t>
      </w:r>
    </w:p>
    <w:p w:rsidR="009921FE" w:rsidRPr="008F2316" w:rsidRDefault="00512AD5" w:rsidP="003E7D5A">
      <w:pPr>
        <w:shd w:val="clear" w:color="auto" w:fill="FFFFFF" w:themeFill="background1"/>
        <w:spacing w:after="0" w:line="360" w:lineRule="auto"/>
        <w:ind w:left="-902"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În </w:t>
      </w:r>
      <w:r w:rsidR="00EF3A3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anul 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202</w:t>
      </w:r>
      <w:r w:rsidR="005F3EC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4</w:t>
      </w:r>
      <w:r w:rsidR="00143D7A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în baza de date a ANOFM au fost înregistrate </w:t>
      </w:r>
      <w:r w:rsidR="005F3EC4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33126</w:t>
      </w:r>
      <w:r w:rsidR="00D23631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locuri de muncă declarate vacante, </w:t>
      </w:r>
      <w:r w:rsidR="004D6DE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din care</w:t>
      </w:r>
      <w:r w:rsidR="00D23631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doar </w:t>
      </w:r>
      <w:r w:rsidR="007347D0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4190</w:t>
      </w:r>
      <w:r w:rsidR="00231C0B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231C0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(</w:t>
      </w:r>
      <w:r w:rsidR="00D23631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</w:t>
      </w:r>
      <w:r w:rsidR="007347D0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3</w:t>
      </w:r>
      <w:r w:rsidR="00D23631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231C0B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)</w:t>
      </w:r>
      <w:r w:rsidR="00D23631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4D6DE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– 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în mediul rural, șomerii din mediul rural constituind </w:t>
      </w:r>
      <w:r w:rsidR="002B1B6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11130</w:t>
      </w:r>
      <w:r w:rsidR="00ED5F76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ED5F7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persoane</w:t>
      </w:r>
      <w:r w:rsidR="0055121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(</w:t>
      </w:r>
      <w:r w:rsidR="002B1B6C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59</w:t>
      </w:r>
      <w:r w:rsidR="0055121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55121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)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.</w:t>
      </w:r>
      <w:r w:rsidR="00D04A6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A5052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D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in</w:t>
      </w:r>
      <w:r w:rsidR="009B519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locuri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le de muncă</w:t>
      </w:r>
      <w:r w:rsidR="009B519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vacante 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înregistrate</w:t>
      </w:r>
      <w:r w:rsidR="0000053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C414BA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53</w:t>
      </w:r>
      <w:r w:rsidR="00A5052B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% </w:t>
      </w:r>
      <w:r w:rsidR="0000053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au 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fost pentru </w:t>
      </w:r>
      <w:r w:rsidR="00DB613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muncitori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calificați, </w:t>
      </w:r>
      <w:r w:rsidR="004B2E31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50</w:t>
      </w:r>
      <w:r w:rsidR="007347D0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din </w:t>
      </w:r>
      <w:r w:rsidR="00A5052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ele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aparțin</w:t>
      </w:r>
      <w:r w:rsidR="00A5052B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ând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sectorului </w:t>
      </w:r>
      <w:r w:rsidR="00923B5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privat.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7436B0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Cele mai multe locuri vacante sunt</w:t>
      </w:r>
      <w:r w:rsidR="00ED5F7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2C1E4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în</w:t>
      </w:r>
      <w:r w:rsidR="0000053C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7436B0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Alte activități de servicii</w:t>
      </w:r>
      <w:r w:rsidR="007436B0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– </w:t>
      </w:r>
      <w:r w:rsidR="007436B0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38%</w:t>
      </w:r>
      <w:r w:rsidR="007436B0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, </w:t>
      </w:r>
      <w:r w:rsidR="007436B0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Comerț cu ridicata și amănuntul</w:t>
      </w:r>
      <w:r w:rsidR="007436B0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– </w:t>
      </w:r>
      <w:r w:rsidR="007436B0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12%, </w:t>
      </w:r>
      <w:r w:rsidR="007436B0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I</w:t>
      </w:r>
      <w:r w:rsidR="009B519F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ndustri</w:t>
      </w:r>
      <w:r w:rsidR="007436B0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e</w:t>
      </w:r>
      <w:r w:rsidR="007436B0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9B519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– </w:t>
      </w:r>
      <w:r w:rsidR="00891C1E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</w:t>
      </w:r>
      <w:r w:rsidR="007436B0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</w:t>
      </w:r>
      <w:r w:rsidR="009B519F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%,</w:t>
      </w:r>
      <w:r w:rsidR="009B519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7436B0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A</w:t>
      </w:r>
      <w:r w:rsidR="00891C1E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gricultură, silvicultura</w:t>
      </w:r>
      <w:r w:rsidR="00ED5F76" w:rsidRPr="008F2316">
        <w:rPr>
          <w:rFonts w:ascii="Arial" w:hAnsi="Arial" w:cs="Arial"/>
          <w:b/>
          <w:i/>
          <w:color w:val="44546A" w:themeColor="text2"/>
          <w:sz w:val="24"/>
          <w:szCs w:val="24"/>
          <w:lang w:val="ro-RO"/>
        </w:rPr>
        <w:t xml:space="preserve"> </w:t>
      </w:r>
      <w:r w:rsidR="00891C1E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şi pescuit</w:t>
      </w:r>
      <w:r w:rsidR="00891C1E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– </w:t>
      </w:r>
      <w:r w:rsidR="00891C1E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10%</w:t>
      </w:r>
      <w:r w:rsidR="007436B0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,</w:t>
      </w:r>
      <w:r w:rsidR="00891C1E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7436B0" w:rsidRPr="008F2316">
        <w:rPr>
          <w:rFonts w:ascii="Arial" w:hAnsi="Arial" w:cs="Arial"/>
          <w:i/>
          <w:color w:val="44546A" w:themeColor="text2"/>
          <w:sz w:val="24"/>
          <w:szCs w:val="24"/>
          <w:lang w:val="ro-RO"/>
        </w:rPr>
        <w:t>Adiministrația publică și apărare</w:t>
      </w:r>
      <w:r w:rsidR="006B4DC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– </w:t>
      </w:r>
      <w:r w:rsidR="007436B0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8</w:t>
      </w:r>
      <w:r w:rsidR="006B4DC8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%</w:t>
      </w:r>
      <w:r w:rsidR="008635D8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8635D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ş.a</w:t>
      </w:r>
      <w:r w:rsidR="006B4DC8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.</w:t>
      </w:r>
      <w:r w:rsidR="00BD142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</w:p>
    <w:p w:rsidR="003042E1" w:rsidRPr="008F2316" w:rsidRDefault="00B61931" w:rsidP="003E7D5A">
      <w:pPr>
        <w:shd w:val="clear" w:color="auto" w:fill="FFFFFF" w:themeFill="background1"/>
        <w:spacing w:after="0" w:line="360" w:lineRule="auto"/>
        <w:ind w:left="-902"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În </w:t>
      </w:r>
      <w:r w:rsidR="008635D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anul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202</w:t>
      </w:r>
      <w:r w:rsidR="00DB613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4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n</w:t>
      </w:r>
      <w:r w:rsidR="00BD142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ivelul </w:t>
      </w:r>
      <w:r w:rsidR="00BA5769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acoperirii</w:t>
      </w:r>
      <w:r w:rsidR="00BD142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cererii de </w:t>
      </w:r>
      <w:r w:rsidR="00A837D9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forță de </w:t>
      </w:r>
      <w:r w:rsidR="00BD1426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muncă </w:t>
      </w:r>
      <w:r w:rsidR="008635D8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a rămas practic la nivelul anului </w:t>
      </w:r>
      <w:r w:rsidR="003B0E8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202</w:t>
      </w:r>
      <w:r w:rsidR="00DB613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3</w:t>
      </w:r>
      <w:r w:rsidR="003B0E8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(</w:t>
      </w:r>
      <w:r w:rsidR="00DB613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0,6</w:t>
      </w:r>
      <w:r w:rsidR="002A2417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3B0E8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versus</w:t>
      </w:r>
      <w:r w:rsidR="002A241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="00DB613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0,8</w:t>
      </w:r>
      <w:r w:rsidR="002A241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)</w:t>
      </w:r>
      <w:r w:rsidR="00BD1426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,</w:t>
      </w:r>
      <w:r w:rsidR="00BE78D9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</w:t>
      </w:r>
      <w:r w:rsidR="00BE78D9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totodată </w:t>
      </w:r>
      <w:r w:rsidR="00AB620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nivelul acoperirii cererii de forță de muncă</w:t>
      </w:r>
      <w:r w:rsidR="00BE78D9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în mediul rural </w:t>
      </w:r>
      <w:r w:rsidR="0055121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este</w:t>
      </w:r>
      <w:r w:rsidR="00C414BA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triplu</w:t>
      </w:r>
      <w:r w:rsidR="00BE78D9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faţă de nivelul total</w:t>
      </w:r>
      <w:r w:rsidR="0055121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pe ţară</w:t>
      </w:r>
      <w:r w:rsidR="00BE78D9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.</w:t>
      </w:r>
    </w:p>
    <w:p w:rsidR="00A24231" w:rsidRPr="003E7D5A" w:rsidRDefault="00A24231" w:rsidP="003E7D5A">
      <w:pPr>
        <w:shd w:val="clear" w:color="auto" w:fill="FFFFFF" w:themeFill="background1"/>
        <w:spacing w:after="0" w:line="360" w:lineRule="auto"/>
        <w:ind w:left="-902" w:right="51"/>
        <w:jc w:val="both"/>
        <w:rPr>
          <w:rFonts w:ascii="Arial" w:hAnsi="Arial" w:cs="Arial"/>
          <w:color w:val="44546A" w:themeColor="text2"/>
          <w:sz w:val="24"/>
          <w:szCs w:val="24"/>
          <w:u w:val="single"/>
          <w:lang w:val="ro-RO"/>
        </w:rPr>
      </w:pPr>
      <w:r w:rsidRPr="003E7D5A">
        <w:rPr>
          <w:rFonts w:ascii="Arial" w:hAnsi="Arial" w:cs="Arial"/>
          <w:b/>
          <w:color w:val="44546A" w:themeColor="text2"/>
          <w:sz w:val="24"/>
          <w:szCs w:val="24"/>
          <w:u w:val="single"/>
          <w:lang w:val="ro-RO"/>
        </w:rPr>
        <w:t>Concluzii</w:t>
      </w:r>
      <w:r w:rsidR="00481FFE" w:rsidRPr="003E7D5A">
        <w:rPr>
          <w:rFonts w:ascii="Arial" w:hAnsi="Arial" w:cs="Arial"/>
          <w:b/>
          <w:color w:val="44546A" w:themeColor="text2"/>
          <w:sz w:val="24"/>
          <w:szCs w:val="24"/>
          <w:u w:val="single"/>
          <w:lang w:val="ro-RO"/>
        </w:rPr>
        <w:t>-cheie</w:t>
      </w:r>
      <w:r w:rsidRPr="003E7D5A">
        <w:rPr>
          <w:rFonts w:ascii="Arial" w:hAnsi="Arial" w:cs="Arial"/>
          <w:color w:val="44546A" w:themeColor="text2"/>
          <w:sz w:val="24"/>
          <w:szCs w:val="24"/>
          <w:u w:val="single"/>
          <w:lang w:val="ro-RO"/>
        </w:rPr>
        <w:t>:</w:t>
      </w:r>
    </w:p>
    <w:p w:rsidR="00E86A3C" w:rsidRPr="003958A6" w:rsidRDefault="00B57BC2" w:rsidP="00E86A3C">
      <w:pPr>
        <w:pStyle w:val="a6"/>
        <w:numPr>
          <w:ilvl w:val="0"/>
          <w:numId w:val="1"/>
        </w:numPr>
        <w:shd w:val="clear" w:color="auto" w:fill="FFFFFF" w:themeFill="background1"/>
        <w:spacing w:after="0" w:line="360" w:lineRule="auto"/>
        <w:ind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4B2E31">
        <w:rPr>
          <w:rFonts w:ascii="Arial" w:hAnsi="Arial" w:cs="Arial"/>
          <w:b/>
          <w:bCs/>
          <w:color w:val="44546A" w:themeColor="text2"/>
          <w:sz w:val="24"/>
          <w:szCs w:val="24"/>
          <w:lang w:val="ro-RO"/>
        </w:rPr>
        <w:t>În anul 2024, urmare a reducerii activității economice în anumite sectoare, c</w:t>
      </w:r>
      <w:r w:rsidR="00E86A3C" w:rsidRPr="004B2E31">
        <w:rPr>
          <w:rFonts w:ascii="Arial" w:hAnsi="Arial" w:cs="Arial"/>
          <w:b/>
          <w:bCs/>
          <w:color w:val="44546A" w:themeColor="text2"/>
          <w:sz w:val="24"/>
          <w:szCs w:val="24"/>
          <w:lang w:val="ro-RO"/>
        </w:rPr>
        <w:t xml:space="preserve">ererea pentru forța de muncă a </w:t>
      </w:r>
      <w:r w:rsidRPr="004B2E31">
        <w:rPr>
          <w:rFonts w:ascii="Arial" w:hAnsi="Arial" w:cs="Arial"/>
          <w:b/>
          <w:bCs/>
          <w:color w:val="44546A" w:themeColor="text2"/>
          <w:sz w:val="24"/>
          <w:szCs w:val="24"/>
          <w:lang w:val="ro-RO"/>
        </w:rPr>
        <w:t xml:space="preserve">fost într-o ușoară diminuare. </w:t>
      </w:r>
      <w:r w:rsidR="0025110C" w:rsidRPr="0025110C">
        <w:rPr>
          <w:rFonts w:ascii="Arial" w:hAnsi="Arial" w:cs="Arial"/>
          <w:bCs/>
          <w:color w:val="44546A" w:themeColor="text2"/>
          <w:sz w:val="24"/>
          <w:szCs w:val="24"/>
          <w:lang w:val="ro-RO"/>
        </w:rPr>
        <w:t>La fel și n</w:t>
      </w:r>
      <w:r w:rsidR="00E86A3C" w:rsidRPr="0025110C">
        <w:rPr>
          <w:rFonts w:ascii="Arial" w:hAnsi="Arial" w:cs="Arial"/>
          <w:color w:val="44546A" w:themeColor="text2"/>
          <w:sz w:val="24"/>
          <w:szCs w:val="24"/>
          <w:lang w:val="ro-RO"/>
        </w:rPr>
        <w:t>umărul</w:t>
      </w:r>
      <w:r w:rsidR="00E86A3C"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populației ocupate a </w:t>
      </w:r>
      <w:r w:rsidR="0025110C">
        <w:rPr>
          <w:rFonts w:ascii="Arial" w:hAnsi="Arial" w:cs="Arial"/>
          <w:color w:val="44546A" w:themeColor="text2"/>
          <w:sz w:val="24"/>
          <w:szCs w:val="24"/>
          <w:lang w:val="ro-RO"/>
        </w:rPr>
        <w:t>scăzut</w:t>
      </w:r>
      <w:r w:rsidR="00E86A3C"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cu 3,7% față de anul 2023, </w:t>
      </w:r>
      <w:r w:rsidR="0025110C">
        <w:rPr>
          <w:rFonts w:ascii="Arial" w:hAnsi="Arial" w:cs="Arial"/>
          <w:color w:val="44546A" w:themeColor="text2"/>
          <w:sz w:val="24"/>
          <w:szCs w:val="24"/>
          <w:lang w:val="ro-RO"/>
        </w:rPr>
        <w:t>respectiv</w:t>
      </w:r>
      <w:r w:rsidR="00E86A3C"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și rata de ocupare </w:t>
      </w:r>
      <w:r w:rsidR="00BE1734">
        <w:rPr>
          <w:rFonts w:ascii="Arial" w:hAnsi="Arial" w:cs="Arial"/>
          <w:color w:val="44546A" w:themeColor="text2"/>
          <w:sz w:val="24"/>
          <w:szCs w:val="24"/>
          <w:lang w:val="ro-RO"/>
        </w:rPr>
        <w:t>s-a micșorat</w:t>
      </w:r>
      <w:r w:rsidR="00E86A3C"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cu 0,4 p.p</w:t>
      </w:r>
      <w:r w:rsidR="00BE1734">
        <w:rPr>
          <w:rFonts w:ascii="Arial" w:hAnsi="Arial" w:cs="Arial"/>
          <w:color w:val="44546A" w:themeColor="text2"/>
          <w:sz w:val="24"/>
          <w:szCs w:val="24"/>
          <w:lang w:val="ro-RO"/>
        </w:rPr>
        <w:t>.</w:t>
      </w:r>
      <w:r w:rsidR="00E86A3C"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Cele mai semnificative scăderi ale numărului de persoane ocupate s-au înregistrat în agricultură, industrie și transporturi.</w:t>
      </w:r>
    </w:p>
    <w:p w:rsidR="00E86A3C" w:rsidRDefault="00E86A3C" w:rsidP="006C3031">
      <w:pPr>
        <w:pStyle w:val="a6"/>
        <w:numPr>
          <w:ilvl w:val="0"/>
          <w:numId w:val="1"/>
        </w:numPr>
        <w:shd w:val="clear" w:color="auto" w:fill="FFFFFF" w:themeFill="background1"/>
        <w:spacing w:after="0" w:line="360" w:lineRule="auto"/>
        <w:ind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3958A6">
        <w:rPr>
          <w:rFonts w:ascii="Arial" w:hAnsi="Arial" w:cs="Arial"/>
          <w:b/>
          <w:bCs/>
          <w:color w:val="44546A" w:themeColor="text2"/>
          <w:sz w:val="24"/>
          <w:szCs w:val="24"/>
          <w:lang w:val="ro-RO"/>
        </w:rPr>
        <w:t xml:space="preserve">Concomitent cu </w:t>
      </w:r>
      <w:r w:rsidR="004B2E31">
        <w:rPr>
          <w:rFonts w:ascii="Arial" w:hAnsi="Arial" w:cs="Arial"/>
          <w:b/>
          <w:bCs/>
          <w:color w:val="44546A" w:themeColor="text2"/>
          <w:sz w:val="24"/>
          <w:szCs w:val="24"/>
          <w:lang w:val="ro-RO"/>
        </w:rPr>
        <w:t>dimiuarea</w:t>
      </w:r>
      <w:r w:rsidRPr="003958A6">
        <w:rPr>
          <w:rFonts w:ascii="Arial" w:hAnsi="Arial" w:cs="Arial"/>
          <w:b/>
          <w:bCs/>
          <w:color w:val="44546A" w:themeColor="text2"/>
          <w:sz w:val="24"/>
          <w:szCs w:val="24"/>
          <w:lang w:val="ro-RO"/>
        </w:rPr>
        <w:t xml:space="preserve"> ratei de ocupare s-a redus și rata șomajului. </w:t>
      </w:r>
      <w:r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Numărul șomerilor BIM </w:t>
      </w:r>
      <w:r w:rsidR="004B2E31">
        <w:rPr>
          <w:rFonts w:ascii="Arial" w:hAnsi="Arial" w:cs="Arial"/>
          <w:color w:val="44546A" w:themeColor="text2"/>
          <w:sz w:val="24"/>
          <w:szCs w:val="24"/>
          <w:lang w:val="ro-RO"/>
        </w:rPr>
        <w:t>a scăzut</w:t>
      </w:r>
      <w:r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cu 17,4% comparativ cu anul 2023</w:t>
      </w:r>
      <w:r w:rsidR="00BE1734">
        <w:rPr>
          <w:rFonts w:ascii="Arial" w:hAnsi="Arial" w:cs="Arial"/>
          <w:color w:val="44546A" w:themeColor="text2"/>
          <w:sz w:val="24"/>
          <w:szCs w:val="24"/>
          <w:lang w:val="ro-RO"/>
        </w:rPr>
        <w:t>, respectiv și r</w:t>
      </w:r>
      <w:r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ata șomajului a </w:t>
      </w:r>
      <w:r w:rsidR="004B2E31">
        <w:rPr>
          <w:rFonts w:ascii="Arial" w:hAnsi="Arial" w:cs="Arial"/>
          <w:color w:val="44546A" w:themeColor="text2"/>
          <w:sz w:val="24"/>
          <w:szCs w:val="24"/>
          <w:lang w:val="ro-RO"/>
        </w:rPr>
        <w:t>descrescut</w:t>
      </w:r>
      <w:r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cu 0,6 p.p. față de anul 2023. </w:t>
      </w:r>
    </w:p>
    <w:p w:rsidR="000A103F" w:rsidRPr="003958A6" w:rsidRDefault="003958A6" w:rsidP="00972829">
      <w:pPr>
        <w:pStyle w:val="a6"/>
        <w:numPr>
          <w:ilvl w:val="0"/>
          <w:numId w:val="1"/>
        </w:numPr>
        <w:shd w:val="clear" w:color="auto" w:fill="FFFFFF" w:themeFill="background1"/>
        <w:spacing w:after="0" w:line="360" w:lineRule="auto"/>
        <w:ind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>Deși n</w:t>
      </w:r>
      <w:r w:rsidR="00E86A3C"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umărul </w:t>
      </w:r>
      <w:r w:rsidR="00E86A3C" w:rsidRPr="003958A6">
        <w:rPr>
          <w:rFonts w:ascii="Arial" w:hAnsi="Arial" w:cs="Arial"/>
          <w:b/>
          <w:bCs/>
          <w:color w:val="44546A" w:themeColor="text2"/>
          <w:sz w:val="24"/>
          <w:szCs w:val="24"/>
          <w:lang w:val="ro-RO"/>
        </w:rPr>
        <w:t xml:space="preserve">șomerilor înregistrați </w:t>
      </w:r>
      <w:r w:rsidR="00E86A3C"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>la ANOFM a fost în descreștere cu 29% față de anul 2023</w:t>
      </w:r>
      <w:r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, </w:t>
      </w:r>
      <w:bookmarkStart w:id="0" w:name="_GoBack"/>
      <w:bookmarkEnd w:id="0"/>
      <w:r w:rsidR="000A103F" w:rsidRPr="003958A6">
        <w:rPr>
          <w:rFonts w:ascii="Arial" w:hAnsi="Arial" w:cs="Arial"/>
          <w:color w:val="44546A" w:themeColor="text2"/>
          <w:sz w:val="24"/>
          <w:szCs w:val="24"/>
          <w:lang w:val="ro-RO"/>
        </w:rPr>
        <w:t>numărul mare al șomerilor fără calificare (62%) este în continuare un obstacol major, care reduce pe termen scurt și mediu șansele de ocupare a acestora și necesită eforturi sustenabile pentru antrenarea lor în cursuri de formare profesională și certificarea competențelor dobândite în contexte de educație informală și nonformală.</w:t>
      </w:r>
    </w:p>
    <w:p w:rsidR="005D4446" w:rsidRPr="008F2316" w:rsidRDefault="00481FFE" w:rsidP="003E7D5A">
      <w:pPr>
        <w:pStyle w:val="a6"/>
        <w:numPr>
          <w:ilvl w:val="0"/>
          <w:numId w:val="1"/>
        </w:numPr>
        <w:shd w:val="clear" w:color="auto" w:fill="FFFFFF" w:themeFill="background1"/>
        <w:spacing w:after="0" w:line="360" w:lineRule="auto"/>
        <w:ind w:right="51"/>
        <w:jc w:val="both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Impedimentul principal în echilibrarea cererii cu oferta de muncă rămâne pe de o parte, lipsa locurilor de muncă</w:t>
      </w:r>
      <w:r w:rsidR="002618C7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bine plătite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, în special în medi</w:t>
      </w:r>
      <w:r w:rsidR="00D56EC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ul rural, iar pe de altă parte, </w:t>
      </w:r>
      <w:r w:rsidR="002F5A7D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lipsa</w:t>
      </w:r>
      <w:r w:rsidR="00D56ECF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 xml:space="preserve"> </w:t>
      </w:r>
      <w:r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forței de muncă calificate</w:t>
      </w:r>
      <w:r w:rsidR="009661D4" w:rsidRPr="008F2316">
        <w:rPr>
          <w:rFonts w:ascii="Arial" w:hAnsi="Arial" w:cs="Arial"/>
          <w:color w:val="44546A" w:themeColor="text2"/>
          <w:sz w:val="24"/>
          <w:szCs w:val="24"/>
          <w:lang w:val="ro-RO"/>
        </w:rPr>
        <w:t>.</w:t>
      </w:r>
    </w:p>
    <w:p w:rsidR="00712D09" w:rsidRPr="008F2316" w:rsidRDefault="00712D09" w:rsidP="0005707A">
      <w:pPr>
        <w:shd w:val="clear" w:color="auto" w:fill="FFFFFF" w:themeFill="background1"/>
        <w:spacing w:before="60" w:after="60" w:line="240" w:lineRule="auto"/>
        <w:ind w:left="-902"/>
        <w:jc w:val="center"/>
        <w:rPr>
          <w:rFonts w:ascii="Arial" w:hAnsi="Arial" w:cs="Arial"/>
          <w:b/>
          <w:color w:val="44546A" w:themeColor="text2"/>
          <w:sz w:val="24"/>
          <w:szCs w:val="24"/>
          <w:lang w:val="en-US"/>
        </w:rPr>
      </w:pPr>
    </w:p>
    <w:p w:rsidR="0005707A" w:rsidRPr="008F2316" w:rsidRDefault="0005707A" w:rsidP="0005707A">
      <w:pPr>
        <w:shd w:val="clear" w:color="auto" w:fill="FFFFFF" w:themeFill="background1"/>
        <w:spacing w:before="60" w:after="60" w:line="240" w:lineRule="auto"/>
        <w:ind w:left="-902"/>
        <w:jc w:val="center"/>
        <w:rPr>
          <w:rFonts w:ascii="Arial" w:hAnsi="Arial" w:cs="Arial"/>
          <w:color w:val="44546A" w:themeColor="text2"/>
          <w:sz w:val="24"/>
          <w:szCs w:val="24"/>
          <w:lang w:val="ro-RO"/>
        </w:rPr>
      </w:pPr>
      <w:r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>Observatorul pieţei muncii</w:t>
      </w:r>
      <w:r w:rsidR="003F4ABD" w:rsidRPr="008F2316">
        <w:rPr>
          <w:rFonts w:ascii="Arial" w:hAnsi="Arial" w:cs="Arial"/>
          <w:b/>
          <w:color w:val="44546A" w:themeColor="text2"/>
          <w:sz w:val="24"/>
          <w:szCs w:val="24"/>
          <w:lang w:val="ro-RO"/>
        </w:rPr>
        <w:t xml:space="preserve"> și managementul performanței</w:t>
      </w:r>
    </w:p>
    <w:sectPr w:rsidR="0005707A" w:rsidRPr="008F2316" w:rsidSect="00E856B1">
      <w:pgSz w:w="12240" w:h="15840"/>
      <w:pgMar w:top="709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ova">
    <w:altName w:val="Arial Nova Cond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56C"/>
    <w:multiLevelType w:val="hybridMultilevel"/>
    <w:tmpl w:val="3C7AA78C"/>
    <w:lvl w:ilvl="0" w:tplc="C194CEE8">
      <w:start w:val="1"/>
      <w:numFmt w:val="decimal"/>
      <w:lvlText w:val="%1."/>
      <w:lvlJc w:val="left"/>
      <w:pPr>
        <w:ind w:left="-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" w:hanging="360"/>
      </w:pPr>
    </w:lvl>
    <w:lvl w:ilvl="2" w:tplc="0419001B" w:tentative="1">
      <w:start w:val="1"/>
      <w:numFmt w:val="lowerRoman"/>
      <w:lvlText w:val="%3."/>
      <w:lvlJc w:val="right"/>
      <w:pPr>
        <w:ind w:left="898" w:hanging="180"/>
      </w:pPr>
    </w:lvl>
    <w:lvl w:ilvl="3" w:tplc="0419000F" w:tentative="1">
      <w:start w:val="1"/>
      <w:numFmt w:val="decimal"/>
      <w:lvlText w:val="%4."/>
      <w:lvlJc w:val="left"/>
      <w:pPr>
        <w:ind w:left="1618" w:hanging="360"/>
      </w:pPr>
    </w:lvl>
    <w:lvl w:ilvl="4" w:tplc="04190019" w:tentative="1">
      <w:start w:val="1"/>
      <w:numFmt w:val="lowerLetter"/>
      <w:lvlText w:val="%5."/>
      <w:lvlJc w:val="left"/>
      <w:pPr>
        <w:ind w:left="2338" w:hanging="360"/>
      </w:pPr>
    </w:lvl>
    <w:lvl w:ilvl="5" w:tplc="0419001B" w:tentative="1">
      <w:start w:val="1"/>
      <w:numFmt w:val="lowerRoman"/>
      <w:lvlText w:val="%6."/>
      <w:lvlJc w:val="right"/>
      <w:pPr>
        <w:ind w:left="3058" w:hanging="180"/>
      </w:pPr>
    </w:lvl>
    <w:lvl w:ilvl="6" w:tplc="0419000F" w:tentative="1">
      <w:start w:val="1"/>
      <w:numFmt w:val="decimal"/>
      <w:lvlText w:val="%7."/>
      <w:lvlJc w:val="left"/>
      <w:pPr>
        <w:ind w:left="3778" w:hanging="360"/>
      </w:pPr>
    </w:lvl>
    <w:lvl w:ilvl="7" w:tplc="04190019" w:tentative="1">
      <w:start w:val="1"/>
      <w:numFmt w:val="lowerLetter"/>
      <w:lvlText w:val="%8."/>
      <w:lvlJc w:val="left"/>
      <w:pPr>
        <w:ind w:left="4498" w:hanging="360"/>
      </w:pPr>
    </w:lvl>
    <w:lvl w:ilvl="8" w:tplc="0419001B" w:tentative="1">
      <w:start w:val="1"/>
      <w:numFmt w:val="lowerRoman"/>
      <w:lvlText w:val="%9."/>
      <w:lvlJc w:val="right"/>
      <w:pPr>
        <w:ind w:left="5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6D"/>
    <w:rsid w:val="0000053C"/>
    <w:rsid w:val="00004D4E"/>
    <w:rsid w:val="00005E45"/>
    <w:rsid w:val="00012C2C"/>
    <w:rsid w:val="00017539"/>
    <w:rsid w:val="00021E7D"/>
    <w:rsid w:val="00035CF1"/>
    <w:rsid w:val="00042273"/>
    <w:rsid w:val="0004634B"/>
    <w:rsid w:val="0005707A"/>
    <w:rsid w:val="00066007"/>
    <w:rsid w:val="00071DCE"/>
    <w:rsid w:val="00073C9F"/>
    <w:rsid w:val="00076319"/>
    <w:rsid w:val="0008144E"/>
    <w:rsid w:val="000826AC"/>
    <w:rsid w:val="0008685B"/>
    <w:rsid w:val="00094BF5"/>
    <w:rsid w:val="000965D4"/>
    <w:rsid w:val="00097B01"/>
    <w:rsid w:val="000A103F"/>
    <w:rsid w:val="000B2CC5"/>
    <w:rsid w:val="000B662E"/>
    <w:rsid w:val="000C4FC9"/>
    <w:rsid w:val="000D2981"/>
    <w:rsid w:val="000D373C"/>
    <w:rsid w:val="000D4E18"/>
    <w:rsid w:val="000E4571"/>
    <w:rsid w:val="000F064B"/>
    <w:rsid w:val="000F0EBA"/>
    <w:rsid w:val="000F1FBF"/>
    <w:rsid w:val="000F4712"/>
    <w:rsid w:val="000F58B4"/>
    <w:rsid w:val="00110C77"/>
    <w:rsid w:val="00112414"/>
    <w:rsid w:val="00112E9D"/>
    <w:rsid w:val="001206C5"/>
    <w:rsid w:val="00120938"/>
    <w:rsid w:val="00121955"/>
    <w:rsid w:val="00122453"/>
    <w:rsid w:val="00136744"/>
    <w:rsid w:val="0014140F"/>
    <w:rsid w:val="00143D7A"/>
    <w:rsid w:val="00145E57"/>
    <w:rsid w:val="00154E9E"/>
    <w:rsid w:val="0015667A"/>
    <w:rsid w:val="00157F22"/>
    <w:rsid w:val="00161BB2"/>
    <w:rsid w:val="0016413D"/>
    <w:rsid w:val="00176DB4"/>
    <w:rsid w:val="00182105"/>
    <w:rsid w:val="00182B73"/>
    <w:rsid w:val="00183034"/>
    <w:rsid w:val="00183492"/>
    <w:rsid w:val="001922AB"/>
    <w:rsid w:val="00193032"/>
    <w:rsid w:val="0019459D"/>
    <w:rsid w:val="00197BCC"/>
    <w:rsid w:val="001B331B"/>
    <w:rsid w:val="001B4916"/>
    <w:rsid w:val="001B6B49"/>
    <w:rsid w:val="001D0854"/>
    <w:rsid w:val="001D45B3"/>
    <w:rsid w:val="001D4E7E"/>
    <w:rsid w:val="001E6A2B"/>
    <w:rsid w:val="001F66CF"/>
    <w:rsid w:val="0020001C"/>
    <w:rsid w:val="00205D04"/>
    <w:rsid w:val="00221B0B"/>
    <w:rsid w:val="00224143"/>
    <w:rsid w:val="002307BE"/>
    <w:rsid w:val="00231C0B"/>
    <w:rsid w:val="0023346B"/>
    <w:rsid w:val="00240B34"/>
    <w:rsid w:val="00241317"/>
    <w:rsid w:val="0025110C"/>
    <w:rsid w:val="002544F1"/>
    <w:rsid w:val="00260CEF"/>
    <w:rsid w:val="002618C7"/>
    <w:rsid w:val="00262EFD"/>
    <w:rsid w:val="002724B8"/>
    <w:rsid w:val="002A2417"/>
    <w:rsid w:val="002B066A"/>
    <w:rsid w:val="002B1B6C"/>
    <w:rsid w:val="002C1E44"/>
    <w:rsid w:val="002D6E73"/>
    <w:rsid w:val="002E14B0"/>
    <w:rsid w:val="002E7A9D"/>
    <w:rsid w:val="002F5A7D"/>
    <w:rsid w:val="003042E1"/>
    <w:rsid w:val="00307CCF"/>
    <w:rsid w:val="003165FC"/>
    <w:rsid w:val="00322525"/>
    <w:rsid w:val="00334A3E"/>
    <w:rsid w:val="00340577"/>
    <w:rsid w:val="003432D4"/>
    <w:rsid w:val="003616A6"/>
    <w:rsid w:val="00365FEB"/>
    <w:rsid w:val="003667A7"/>
    <w:rsid w:val="003916D4"/>
    <w:rsid w:val="003958A6"/>
    <w:rsid w:val="003A2BBE"/>
    <w:rsid w:val="003B0E8D"/>
    <w:rsid w:val="003B6560"/>
    <w:rsid w:val="003C122E"/>
    <w:rsid w:val="003C377A"/>
    <w:rsid w:val="003C7C2E"/>
    <w:rsid w:val="003D4029"/>
    <w:rsid w:val="003E2EFC"/>
    <w:rsid w:val="003E4A11"/>
    <w:rsid w:val="003E7D5A"/>
    <w:rsid w:val="003F4ABD"/>
    <w:rsid w:val="004000D1"/>
    <w:rsid w:val="004004AC"/>
    <w:rsid w:val="00407A05"/>
    <w:rsid w:val="00415020"/>
    <w:rsid w:val="00420500"/>
    <w:rsid w:val="00430198"/>
    <w:rsid w:val="004314FB"/>
    <w:rsid w:val="00435599"/>
    <w:rsid w:val="00437284"/>
    <w:rsid w:val="004537EE"/>
    <w:rsid w:val="0045724D"/>
    <w:rsid w:val="00460878"/>
    <w:rsid w:val="00461339"/>
    <w:rsid w:val="004620A9"/>
    <w:rsid w:val="00462CA1"/>
    <w:rsid w:val="00475F25"/>
    <w:rsid w:val="0047710C"/>
    <w:rsid w:val="00480B63"/>
    <w:rsid w:val="00481FFE"/>
    <w:rsid w:val="00485C92"/>
    <w:rsid w:val="00495424"/>
    <w:rsid w:val="004A0357"/>
    <w:rsid w:val="004A2DE9"/>
    <w:rsid w:val="004A411B"/>
    <w:rsid w:val="004A5786"/>
    <w:rsid w:val="004B0185"/>
    <w:rsid w:val="004B2E31"/>
    <w:rsid w:val="004B57BE"/>
    <w:rsid w:val="004C13A7"/>
    <w:rsid w:val="004C21DD"/>
    <w:rsid w:val="004C41EA"/>
    <w:rsid w:val="004D070C"/>
    <w:rsid w:val="004D170E"/>
    <w:rsid w:val="004D4087"/>
    <w:rsid w:val="004D6DE4"/>
    <w:rsid w:val="004E6E04"/>
    <w:rsid w:val="004F3AD7"/>
    <w:rsid w:val="004F6D4F"/>
    <w:rsid w:val="004F6EBA"/>
    <w:rsid w:val="005017CB"/>
    <w:rsid w:val="00505A95"/>
    <w:rsid w:val="00505DB2"/>
    <w:rsid w:val="005113AB"/>
    <w:rsid w:val="00512150"/>
    <w:rsid w:val="00512AD5"/>
    <w:rsid w:val="00537EF1"/>
    <w:rsid w:val="00540505"/>
    <w:rsid w:val="0054156D"/>
    <w:rsid w:val="00544B7F"/>
    <w:rsid w:val="005469EB"/>
    <w:rsid w:val="00547D12"/>
    <w:rsid w:val="00551217"/>
    <w:rsid w:val="0055515A"/>
    <w:rsid w:val="0056573B"/>
    <w:rsid w:val="00572A52"/>
    <w:rsid w:val="0059567C"/>
    <w:rsid w:val="005969E9"/>
    <w:rsid w:val="00597005"/>
    <w:rsid w:val="005A143A"/>
    <w:rsid w:val="005A7265"/>
    <w:rsid w:val="005B23C2"/>
    <w:rsid w:val="005B59FB"/>
    <w:rsid w:val="005C0096"/>
    <w:rsid w:val="005C5528"/>
    <w:rsid w:val="005C72F0"/>
    <w:rsid w:val="005D2512"/>
    <w:rsid w:val="005D4446"/>
    <w:rsid w:val="005F0BF0"/>
    <w:rsid w:val="005F3C49"/>
    <w:rsid w:val="005F3EC4"/>
    <w:rsid w:val="006050B5"/>
    <w:rsid w:val="00611F6D"/>
    <w:rsid w:val="00615C08"/>
    <w:rsid w:val="00620C88"/>
    <w:rsid w:val="0062189B"/>
    <w:rsid w:val="00626CDF"/>
    <w:rsid w:val="00631C0F"/>
    <w:rsid w:val="006356CE"/>
    <w:rsid w:val="00636747"/>
    <w:rsid w:val="00641559"/>
    <w:rsid w:val="00644C1C"/>
    <w:rsid w:val="00646468"/>
    <w:rsid w:val="006470F9"/>
    <w:rsid w:val="00647D7D"/>
    <w:rsid w:val="006803A4"/>
    <w:rsid w:val="00685C3C"/>
    <w:rsid w:val="006875E5"/>
    <w:rsid w:val="0069007E"/>
    <w:rsid w:val="006913DE"/>
    <w:rsid w:val="00694BF5"/>
    <w:rsid w:val="00695D64"/>
    <w:rsid w:val="006A0CD6"/>
    <w:rsid w:val="006A4ADC"/>
    <w:rsid w:val="006A79D4"/>
    <w:rsid w:val="006B18BA"/>
    <w:rsid w:val="006B22DB"/>
    <w:rsid w:val="006B4533"/>
    <w:rsid w:val="006B4DC8"/>
    <w:rsid w:val="006B6A51"/>
    <w:rsid w:val="006C50AF"/>
    <w:rsid w:val="006D3FE2"/>
    <w:rsid w:val="006D7730"/>
    <w:rsid w:val="006E00B9"/>
    <w:rsid w:val="006E242C"/>
    <w:rsid w:val="006E3448"/>
    <w:rsid w:val="006E4FA7"/>
    <w:rsid w:val="006E795F"/>
    <w:rsid w:val="006F7E1C"/>
    <w:rsid w:val="0071188A"/>
    <w:rsid w:val="007121AB"/>
    <w:rsid w:val="00712663"/>
    <w:rsid w:val="00712D09"/>
    <w:rsid w:val="00717871"/>
    <w:rsid w:val="00721E65"/>
    <w:rsid w:val="007240B4"/>
    <w:rsid w:val="007347D0"/>
    <w:rsid w:val="007436B0"/>
    <w:rsid w:val="00753EA6"/>
    <w:rsid w:val="0076136C"/>
    <w:rsid w:val="00764BD9"/>
    <w:rsid w:val="00765526"/>
    <w:rsid w:val="007664E6"/>
    <w:rsid w:val="00771D22"/>
    <w:rsid w:val="00775808"/>
    <w:rsid w:val="0078137E"/>
    <w:rsid w:val="00782096"/>
    <w:rsid w:val="007905AE"/>
    <w:rsid w:val="0079462A"/>
    <w:rsid w:val="007949B4"/>
    <w:rsid w:val="007A5FB7"/>
    <w:rsid w:val="007A6965"/>
    <w:rsid w:val="007A6B85"/>
    <w:rsid w:val="007B1038"/>
    <w:rsid w:val="007B2C34"/>
    <w:rsid w:val="007B4D07"/>
    <w:rsid w:val="007B5D63"/>
    <w:rsid w:val="007C4878"/>
    <w:rsid w:val="007C757F"/>
    <w:rsid w:val="007D0FF2"/>
    <w:rsid w:val="007D2F92"/>
    <w:rsid w:val="007D4B06"/>
    <w:rsid w:val="007D7F6D"/>
    <w:rsid w:val="007E7705"/>
    <w:rsid w:val="007E7F43"/>
    <w:rsid w:val="007F2281"/>
    <w:rsid w:val="00805C2E"/>
    <w:rsid w:val="00814566"/>
    <w:rsid w:val="00824834"/>
    <w:rsid w:val="00825889"/>
    <w:rsid w:val="00830D76"/>
    <w:rsid w:val="00831EFE"/>
    <w:rsid w:val="00832F10"/>
    <w:rsid w:val="0083754C"/>
    <w:rsid w:val="008515E8"/>
    <w:rsid w:val="008528B2"/>
    <w:rsid w:val="008530FA"/>
    <w:rsid w:val="008635D8"/>
    <w:rsid w:val="00864947"/>
    <w:rsid w:val="008670C3"/>
    <w:rsid w:val="00873642"/>
    <w:rsid w:val="00875E76"/>
    <w:rsid w:val="008811D6"/>
    <w:rsid w:val="008900ED"/>
    <w:rsid w:val="00890790"/>
    <w:rsid w:val="00891C1E"/>
    <w:rsid w:val="00892BA7"/>
    <w:rsid w:val="00895E86"/>
    <w:rsid w:val="00895FA2"/>
    <w:rsid w:val="008A4723"/>
    <w:rsid w:val="008A6E98"/>
    <w:rsid w:val="008B65AB"/>
    <w:rsid w:val="008B770D"/>
    <w:rsid w:val="008C2379"/>
    <w:rsid w:val="008C4BFF"/>
    <w:rsid w:val="008D3B9C"/>
    <w:rsid w:val="008D71DC"/>
    <w:rsid w:val="008E145F"/>
    <w:rsid w:val="008E308A"/>
    <w:rsid w:val="008E67C1"/>
    <w:rsid w:val="008E7A31"/>
    <w:rsid w:val="008E7DED"/>
    <w:rsid w:val="008F2316"/>
    <w:rsid w:val="008F5201"/>
    <w:rsid w:val="008F7483"/>
    <w:rsid w:val="00900217"/>
    <w:rsid w:val="00900BBC"/>
    <w:rsid w:val="00907354"/>
    <w:rsid w:val="00912DF1"/>
    <w:rsid w:val="00914F7C"/>
    <w:rsid w:val="00922EBE"/>
    <w:rsid w:val="00923B5F"/>
    <w:rsid w:val="00926491"/>
    <w:rsid w:val="00927FA1"/>
    <w:rsid w:val="00940C86"/>
    <w:rsid w:val="00943D40"/>
    <w:rsid w:val="00945BC6"/>
    <w:rsid w:val="0094657D"/>
    <w:rsid w:val="00951100"/>
    <w:rsid w:val="00956424"/>
    <w:rsid w:val="009637E6"/>
    <w:rsid w:val="0096497C"/>
    <w:rsid w:val="009661D4"/>
    <w:rsid w:val="009710F6"/>
    <w:rsid w:val="00974E4D"/>
    <w:rsid w:val="00981C71"/>
    <w:rsid w:val="00983D06"/>
    <w:rsid w:val="0098455F"/>
    <w:rsid w:val="00986E50"/>
    <w:rsid w:val="00987BA7"/>
    <w:rsid w:val="0099021F"/>
    <w:rsid w:val="009921FE"/>
    <w:rsid w:val="00994CC2"/>
    <w:rsid w:val="009979DC"/>
    <w:rsid w:val="009A2474"/>
    <w:rsid w:val="009A31C1"/>
    <w:rsid w:val="009A3E77"/>
    <w:rsid w:val="009A6C25"/>
    <w:rsid w:val="009B037A"/>
    <w:rsid w:val="009B519F"/>
    <w:rsid w:val="009B6797"/>
    <w:rsid w:val="009C02EC"/>
    <w:rsid w:val="009C212A"/>
    <w:rsid w:val="009D5E2A"/>
    <w:rsid w:val="009E135E"/>
    <w:rsid w:val="009E4B75"/>
    <w:rsid w:val="009F180A"/>
    <w:rsid w:val="00A00BC7"/>
    <w:rsid w:val="00A00D22"/>
    <w:rsid w:val="00A01A75"/>
    <w:rsid w:val="00A03C63"/>
    <w:rsid w:val="00A049AA"/>
    <w:rsid w:val="00A11F36"/>
    <w:rsid w:val="00A12BC3"/>
    <w:rsid w:val="00A214C1"/>
    <w:rsid w:val="00A24231"/>
    <w:rsid w:val="00A26BCD"/>
    <w:rsid w:val="00A32EFC"/>
    <w:rsid w:val="00A3734C"/>
    <w:rsid w:val="00A403CE"/>
    <w:rsid w:val="00A42AD6"/>
    <w:rsid w:val="00A46915"/>
    <w:rsid w:val="00A5052B"/>
    <w:rsid w:val="00A511EA"/>
    <w:rsid w:val="00A57A18"/>
    <w:rsid w:val="00A66D74"/>
    <w:rsid w:val="00A706C6"/>
    <w:rsid w:val="00A73E1F"/>
    <w:rsid w:val="00A753CE"/>
    <w:rsid w:val="00A8195B"/>
    <w:rsid w:val="00A837D9"/>
    <w:rsid w:val="00A9150B"/>
    <w:rsid w:val="00A91B91"/>
    <w:rsid w:val="00A94AA6"/>
    <w:rsid w:val="00A97A77"/>
    <w:rsid w:val="00AA1C05"/>
    <w:rsid w:val="00AA314D"/>
    <w:rsid w:val="00AB12F5"/>
    <w:rsid w:val="00AB4FF3"/>
    <w:rsid w:val="00AB545E"/>
    <w:rsid w:val="00AB6204"/>
    <w:rsid w:val="00AB72E0"/>
    <w:rsid w:val="00AC3EB9"/>
    <w:rsid w:val="00AD1DCF"/>
    <w:rsid w:val="00AD50E7"/>
    <w:rsid w:val="00AE227A"/>
    <w:rsid w:val="00AE2B5E"/>
    <w:rsid w:val="00AE341A"/>
    <w:rsid w:val="00AF0443"/>
    <w:rsid w:val="00AF0493"/>
    <w:rsid w:val="00AF585C"/>
    <w:rsid w:val="00B012FB"/>
    <w:rsid w:val="00B06FEF"/>
    <w:rsid w:val="00B11DF8"/>
    <w:rsid w:val="00B12C4E"/>
    <w:rsid w:val="00B143FF"/>
    <w:rsid w:val="00B147F1"/>
    <w:rsid w:val="00B16F28"/>
    <w:rsid w:val="00B20073"/>
    <w:rsid w:val="00B20285"/>
    <w:rsid w:val="00B213E3"/>
    <w:rsid w:val="00B23959"/>
    <w:rsid w:val="00B24386"/>
    <w:rsid w:val="00B26850"/>
    <w:rsid w:val="00B27ED1"/>
    <w:rsid w:val="00B305EF"/>
    <w:rsid w:val="00B52568"/>
    <w:rsid w:val="00B5678B"/>
    <w:rsid w:val="00B57BC2"/>
    <w:rsid w:val="00B61931"/>
    <w:rsid w:val="00B63CE4"/>
    <w:rsid w:val="00B665ED"/>
    <w:rsid w:val="00B71304"/>
    <w:rsid w:val="00B73D17"/>
    <w:rsid w:val="00B76186"/>
    <w:rsid w:val="00B8314E"/>
    <w:rsid w:val="00B86511"/>
    <w:rsid w:val="00B903C5"/>
    <w:rsid w:val="00B90644"/>
    <w:rsid w:val="00BA1490"/>
    <w:rsid w:val="00BA5769"/>
    <w:rsid w:val="00BA6302"/>
    <w:rsid w:val="00BB2FC8"/>
    <w:rsid w:val="00BB70F2"/>
    <w:rsid w:val="00BC65A3"/>
    <w:rsid w:val="00BD1426"/>
    <w:rsid w:val="00BD1AD4"/>
    <w:rsid w:val="00BE1734"/>
    <w:rsid w:val="00BE460A"/>
    <w:rsid w:val="00BE78D9"/>
    <w:rsid w:val="00BF024C"/>
    <w:rsid w:val="00BF39BF"/>
    <w:rsid w:val="00BF40CD"/>
    <w:rsid w:val="00BF735A"/>
    <w:rsid w:val="00C01B42"/>
    <w:rsid w:val="00C06CC2"/>
    <w:rsid w:val="00C0762B"/>
    <w:rsid w:val="00C10249"/>
    <w:rsid w:val="00C10CBD"/>
    <w:rsid w:val="00C200AE"/>
    <w:rsid w:val="00C22882"/>
    <w:rsid w:val="00C24C40"/>
    <w:rsid w:val="00C27F0F"/>
    <w:rsid w:val="00C34FBD"/>
    <w:rsid w:val="00C414BA"/>
    <w:rsid w:val="00C506DE"/>
    <w:rsid w:val="00C51718"/>
    <w:rsid w:val="00C6279A"/>
    <w:rsid w:val="00C64985"/>
    <w:rsid w:val="00C672C4"/>
    <w:rsid w:val="00C727E7"/>
    <w:rsid w:val="00C85513"/>
    <w:rsid w:val="00C90E74"/>
    <w:rsid w:val="00CA28D3"/>
    <w:rsid w:val="00CA6CEC"/>
    <w:rsid w:val="00CA7B59"/>
    <w:rsid w:val="00CB1E86"/>
    <w:rsid w:val="00CC4A96"/>
    <w:rsid w:val="00CC6B42"/>
    <w:rsid w:val="00CD403E"/>
    <w:rsid w:val="00CD4C39"/>
    <w:rsid w:val="00CE0B1D"/>
    <w:rsid w:val="00CE60EA"/>
    <w:rsid w:val="00CE6892"/>
    <w:rsid w:val="00CF3578"/>
    <w:rsid w:val="00CF3F72"/>
    <w:rsid w:val="00CF750B"/>
    <w:rsid w:val="00D04A6B"/>
    <w:rsid w:val="00D1372C"/>
    <w:rsid w:val="00D1456F"/>
    <w:rsid w:val="00D20ADC"/>
    <w:rsid w:val="00D23631"/>
    <w:rsid w:val="00D253D8"/>
    <w:rsid w:val="00D3043A"/>
    <w:rsid w:val="00D37BF6"/>
    <w:rsid w:val="00D43C3D"/>
    <w:rsid w:val="00D47AF3"/>
    <w:rsid w:val="00D53AAF"/>
    <w:rsid w:val="00D56ECF"/>
    <w:rsid w:val="00D64C39"/>
    <w:rsid w:val="00D741D8"/>
    <w:rsid w:val="00D765F8"/>
    <w:rsid w:val="00D77CC2"/>
    <w:rsid w:val="00D86172"/>
    <w:rsid w:val="00D91FC7"/>
    <w:rsid w:val="00D93268"/>
    <w:rsid w:val="00D95E20"/>
    <w:rsid w:val="00DA1C39"/>
    <w:rsid w:val="00DA5E68"/>
    <w:rsid w:val="00DB40A9"/>
    <w:rsid w:val="00DB6134"/>
    <w:rsid w:val="00DC7B75"/>
    <w:rsid w:val="00DD2257"/>
    <w:rsid w:val="00DD76C5"/>
    <w:rsid w:val="00DD7A5E"/>
    <w:rsid w:val="00DF110C"/>
    <w:rsid w:val="00DF214C"/>
    <w:rsid w:val="00DF3248"/>
    <w:rsid w:val="00DF410F"/>
    <w:rsid w:val="00DF4950"/>
    <w:rsid w:val="00E066AA"/>
    <w:rsid w:val="00E100AB"/>
    <w:rsid w:val="00E11179"/>
    <w:rsid w:val="00E14B19"/>
    <w:rsid w:val="00E176A8"/>
    <w:rsid w:val="00E25614"/>
    <w:rsid w:val="00E2793C"/>
    <w:rsid w:val="00E2793F"/>
    <w:rsid w:val="00E31C54"/>
    <w:rsid w:val="00E34A03"/>
    <w:rsid w:val="00E34DFD"/>
    <w:rsid w:val="00E36DAE"/>
    <w:rsid w:val="00E43543"/>
    <w:rsid w:val="00E47445"/>
    <w:rsid w:val="00E51DE7"/>
    <w:rsid w:val="00E5290A"/>
    <w:rsid w:val="00E52CAF"/>
    <w:rsid w:val="00E52CE1"/>
    <w:rsid w:val="00E53148"/>
    <w:rsid w:val="00E63AA1"/>
    <w:rsid w:val="00E658CA"/>
    <w:rsid w:val="00E72E3E"/>
    <w:rsid w:val="00E818CF"/>
    <w:rsid w:val="00E8406E"/>
    <w:rsid w:val="00E856B1"/>
    <w:rsid w:val="00E86A3C"/>
    <w:rsid w:val="00E918B9"/>
    <w:rsid w:val="00E9424A"/>
    <w:rsid w:val="00EA2DF5"/>
    <w:rsid w:val="00EB3251"/>
    <w:rsid w:val="00EB4210"/>
    <w:rsid w:val="00EB6552"/>
    <w:rsid w:val="00EB7310"/>
    <w:rsid w:val="00EC0809"/>
    <w:rsid w:val="00EC319F"/>
    <w:rsid w:val="00EC5402"/>
    <w:rsid w:val="00ED0CA6"/>
    <w:rsid w:val="00ED1561"/>
    <w:rsid w:val="00ED5F76"/>
    <w:rsid w:val="00EE1B6D"/>
    <w:rsid w:val="00EE1E82"/>
    <w:rsid w:val="00EF3A36"/>
    <w:rsid w:val="00F03536"/>
    <w:rsid w:val="00F07BF8"/>
    <w:rsid w:val="00F11198"/>
    <w:rsid w:val="00F14BF6"/>
    <w:rsid w:val="00F14CDD"/>
    <w:rsid w:val="00F204A1"/>
    <w:rsid w:val="00F2190A"/>
    <w:rsid w:val="00F24F5B"/>
    <w:rsid w:val="00F27215"/>
    <w:rsid w:val="00F27B35"/>
    <w:rsid w:val="00F35D57"/>
    <w:rsid w:val="00F4333A"/>
    <w:rsid w:val="00F470F3"/>
    <w:rsid w:val="00F51AC0"/>
    <w:rsid w:val="00F6731B"/>
    <w:rsid w:val="00F806AC"/>
    <w:rsid w:val="00F91D9D"/>
    <w:rsid w:val="00F939DB"/>
    <w:rsid w:val="00F94C1A"/>
    <w:rsid w:val="00FB2F07"/>
    <w:rsid w:val="00FE272B"/>
    <w:rsid w:val="00FF3C68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79355-62FC-458B-AFF7-963B0C25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5Dark-Accent51">
    <w:name w:val="Grid Table 5 Dark - Accent 51"/>
    <w:basedOn w:val="a1"/>
    <w:uiPriority w:val="50"/>
    <w:rsid w:val="008B65A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a3">
    <w:name w:val="Emphasis"/>
    <w:basedOn w:val="a0"/>
    <w:uiPriority w:val="20"/>
    <w:qFormat/>
    <w:rsid w:val="00C10249"/>
    <w:rPr>
      <w:i/>
      <w:iCs/>
    </w:rPr>
  </w:style>
  <w:style w:type="character" w:styleId="a4">
    <w:name w:val="Strong"/>
    <w:basedOn w:val="a0"/>
    <w:uiPriority w:val="22"/>
    <w:qFormat/>
    <w:rsid w:val="001E6A2B"/>
    <w:rPr>
      <w:b/>
      <w:bCs/>
    </w:rPr>
  </w:style>
  <w:style w:type="character" w:styleId="a5">
    <w:name w:val="Hyperlink"/>
    <w:basedOn w:val="a0"/>
    <w:uiPriority w:val="99"/>
    <w:semiHidden/>
    <w:unhideWhenUsed/>
    <w:rsid w:val="001E6A2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42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140F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B12C4E"/>
    <w:pPr>
      <w:spacing w:after="0" w:line="240" w:lineRule="auto"/>
    </w:pPr>
    <w:rPr>
      <w:lang w:val="en-US"/>
    </w:rPr>
  </w:style>
  <w:style w:type="character" w:customStyle="1" w:styleId="aa">
    <w:name w:val="Без интервала Знак"/>
    <w:basedOn w:val="a0"/>
    <w:link w:val="a9"/>
    <w:uiPriority w:val="1"/>
    <w:rsid w:val="00B12C4E"/>
    <w:rPr>
      <w:lang w:val="en-US"/>
    </w:rPr>
  </w:style>
  <w:style w:type="paragraph" w:styleId="ab">
    <w:name w:val="footer"/>
    <w:basedOn w:val="a"/>
    <w:link w:val="ac"/>
    <w:uiPriority w:val="99"/>
    <w:unhideWhenUsed/>
    <w:rsid w:val="00875E76"/>
    <w:pPr>
      <w:tabs>
        <w:tab w:val="center" w:pos="4677"/>
        <w:tab w:val="right" w:pos="9355"/>
      </w:tabs>
      <w:spacing w:after="0" w:line="240" w:lineRule="auto"/>
    </w:pPr>
    <w:rPr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875E76"/>
    <w:rPr>
      <w:lang w:val="en-GB"/>
    </w:rPr>
  </w:style>
  <w:style w:type="paragraph" w:customStyle="1" w:styleId="Default">
    <w:name w:val="Default"/>
    <w:rsid w:val="00E86A3C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BE6A-A70C-4C57-8031-77F54E96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Gamanjii</dc:creator>
  <cp:keywords/>
  <dc:description/>
  <cp:lastModifiedBy>Raisa Terzi</cp:lastModifiedBy>
  <cp:revision>172</cp:revision>
  <cp:lastPrinted>2025-06-20T05:33:00Z</cp:lastPrinted>
  <dcterms:created xsi:type="dcterms:W3CDTF">2021-09-30T07:35:00Z</dcterms:created>
  <dcterms:modified xsi:type="dcterms:W3CDTF">2025-06-23T08:50:00Z</dcterms:modified>
</cp:coreProperties>
</file>